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7" w:rsidRDefault="00A459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4743"/>
        <w:gridCol w:w="1787"/>
        <w:gridCol w:w="1651"/>
      </w:tblGrid>
      <w:tr w:rsidR="00B119CC" w:rsidTr="009D590D">
        <w:trPr>
          <w:trHeight w:val="397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:rsidR="00B119CC" w:rsidRDefault="00D84121" w:rsidP="00312301">
            <w:pPr>
              <w:jc w:val="left"/>
            </w:pPr>
            <w:r>
              <w:t>Customer</w:t>
            </w:r>
            <w:r w:rsidR="00B119CC">
              <w:t>:</w:t>
            </w:r>
          </w:p>
        </w:tc>
        <w:tc>
          <w:tcPr>
            <w:tcW w:w="4743" w:type="dxa"/>
            <w:vAlign w:val="center"/>
          </w:tcPr>
          <w:p w:rsidR="00B119CC" w:rsidRDefault="00B119CC" w:rsidP="00B119CC">
            <w:pPr>
              <w:jc w:val="left"/>
            </w:pP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B119CC" w:rsidRDefault="00B119CC" w:rsidP="00312301">
            <w:pPr>
              <w:jc w:val="left"/>
            </w:pPr>
            <w:r>
              <w:t xml:space="preserve">Work order </w:t>
            </w:r>
            <w:r w:rsidR="00F5032D">
              <w:t>#</w:t>
            </w:r>
            <w:r>
              <w:t>:</w:t>
            </w:r>
          </w:p>
        </w:tc>
        <w:tc>
          <w:tcPr>
            <w:tcW w:w="1651" w:type="dxa"/>
            <w:vAlign w:val="center"/>
          </w:tcPr>
          <w:p w:rsidR="00B119CC" w:rsidRPr="004D2134" w:rsidRDefault="004D2134" w:rsidP="009B6B67">
            <w:pPr>
              <w:jc w:val="right"/>
              <w:rPr>
                <w:i/>
              </w:rPr>
            </w:pPr>
            <w:r w:rsidRPr="004D2134">
              <w:rPr>
                <w:i/>
              </w:rPr>
              <w:t>For Office Use</w:t>
            </w:r>
          </w:p>
        </w:tc>
      </w:tr>
      <w:tr w:rsidR="00B119CC" w:rsidTr="009D590D">
        <w:trPr>
          <w:trHeight w:val="397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:rsidR="00B119CC" w:rsidRDefault="00B119CC" w:rsidP="00312301">
            <w:pPr>
              <w:jc w:val="left"/>
            </w:pPr>
            <w:r>
              <w:t>Contact:</w:t>
            </w:r>
          </w:p>
        </w:tc>
        <w:tc>
          <w:tcPr>
            <w:tcW w:w="4743" w:type="dxa"/>
            <w:vAlign w:val="center"/>
          </w:tcPr>
          <w:p w:rsidR="00B119CC" w:rsidRDefault="00B119CC" w:rsidP="00B119CC">
            <w:pPr>
              <w:jc w:val="left"/>
            </w:pP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B119CC" w:rsidRDefault="001D76D0" w:rsidP="00312301">
            <w:pPr>
              <w:jc w:val="left"/>
            </w:pPr>
            <w:r>
              <w:t>Work order date:</w:t>
            </w:r>
          </w:p>
        </w:tc>
        <w:tc>
          <w:tcPr>
            <w:tcW w:w="1651" w:type="dxa"/>
            <w:vAlign w:val="center"/>
          </w:tcPr>
          <w:p w:rsidR="00B119CC" w:rsidRDefault="00B119CC" w:rsidP="00B119CC">
            <w:pPr>
              <w:jc w:val="right"/>
            </w:pPr>
          </w:p>
        </w:tc>
      </w:tr>
      <w:tr w:rsidR="00B119CC" w:rsidTr="009D590D">
        <w:trPr>
          <w:trHeight w:val="397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:rsidR="00B119CC" w:rsidRDefault="001D76D0" w:rsidP="00312301">
            <w:pPr>
              <w:jc w:val="left"/>
            </w:pPr>
            <w:r>
              <w:t>Phone:</w:t>
            </w:r>
          </w:p>
        </w:tc>
        <w:tc>
          <w:tcPr>
            <w:tcW w:w="4743" w:type="dxa"/>
            <w:vAlign w:val="center"/>
          </w:tcPr>
          <w:p w:rsidR="00B119CC" w:rsidRDefault="00B119CC" w:rsidP="00B119CC">
            <w:pPr>
              <w:jc w:val="left"/>
            </w:pP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B119CC" w:rsidRDefault="001D76D0" w:rsidP="00312301">
            <w:pPr>
              <w:jc w:val="left"/>
            </w:pPr>
            <w:r>
              <w:t>Purchase order #:</w:t>
            </w:r>
          </w:p>
        </w:tc>
        <w:tc>
          <w:tcPr>
            <w:tcW w:w="1651" w:type="dxa"/>
            <w:vAlign w:val="center"/>
          </w:tcPr>
          <w:p w:rsidR="00B119CC" w:rsidRDefault="00B119CC" w:rsidP="00B119CC">
            <w:pPr>
              <w:jc w:val="right"/>
            </w:pPr>
          </w:p>
        </w:tc>
      </w:tr>
      <w:tr w:rsidR="00F5032D" w:rsidTr="009D590D">
        <w:trPr>
          <w:trHeight w:val="397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:rsidR="00F5032D" w:rsidRDefault="001D76D0" w:rsidP="00312301">
            <w:pPr>
              <w:jc w:val="left"/>
            </w:pPr>
            <w:r>
              <w:t>Email</w:t>
            </w:r>
            <w:r w:rsidR="00F5032D">
              <w:t>:</w:t>
            </w:r>
          </w:p>
        </w:tc>
        <w:tc>
          <w:tcPr>
            <w:tcW w:w="4743" w:type="dxa"/>
            <w:vAlign w:val="center"/>
          </w:tcPr>
          <w:p w:rsidR="00F5032D" w:rsidRDefault="00F5032D" w:rsidP="00F5032D">
            <w:pPr>
              <w:jc w:val="left"/>
            </w:pP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F5032D" w:rsidRDefault="00F5032D" w:rsidP="00312301">
            <w:pPr>
              <w:jc w:val="left"/>
            </w:pPr>
            <w:r>
              <w:t>Required by date:</w:t>
            </w:r>
          </w:p>
        </w:tc>
        <w:tc>
          <w:tcPr>
            <w:tcW w:w="1651" w:type="dxa"/>
            <w:vAlign w:val="center"/>
          </w:tcPr>
          <w:p w:rsidR="00F5032D" w:rsidRDefault="00F5032D" w:rsidP="006E28A3">
            <w:pPr>
              <w:jc w:val="right"/>
            </w:pPr>
            <w:r>
              <w:t>Routine</w:t>
            </w:r>
          </w:p>
        </w:tc>
      </w:tr>
    </w:tbl>
    <w:p w:rsidR="006964F7" w:rsidRDefault="006964F7" w:rsidP="006964F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1"/>
        <w:gridCol w:w="4621"/>
      </w:tblGrid>
      <w:tr w:rsidR="005F18CB" w:rsidTr="009D590D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5F18CB" w:rsidRDefault="005F18CB" w:rsidP="00312301">
            <w:pPr>
              <w:jc w:val="left"/>
            </w:pPr>
            <w:r>
              <w:t>Instrument owner</w:t>
            </w:r>
            <w:r w:rsidR="007440DE">
              <w:t>’s</w:t>
            </w:r>
            <w:r>
              <w:t xml:space="preserve"> name and address as </w:t>
            </w:r>
            <w:r w:rsidR="00312301">
              <w:t xml:space="preserve">it is </w:t>
            </w:r>
            <w:r>
              <w:t xml:space="preserve">to appear on </w:t>
            </w:r>
            <w:r w:rsidR="00312301">
              <w:t xml:space="preserve">the </w:t>
            </w:r>
            <w:r>
              <w:t>calibration certificate(s):</w:t>
            </w:r>
          </w:p>
        </w:tc>
      </w:tr>
      <w:tr w:rsidR="00727E0F" w:rsidTr="00727E0F">
        <w:trPr>
          <w:trHeight w:val="397"/>
        </w:trPr>
        <w:tc>
          <w:tcPr>
            <w:tcW w:w="2500" w:type="pct"/>
            <w:vAlign w:val="center"/>
          </w:tcPr>
          <w:p w:rsidR="00727E0F" w:rsidRDefault="00727E0F" w:rsidP="005F18CB">
            <w:pPr>
              <w:jc w:val="left"/>
            </w:pPr>
          </w:p>
        </w:tc>
        <w:tc>
          <w:tcPr>
            <w:tcW w:w="2500" w:type="pct"/>
            <w:vMerge w:val="restart"/>
            <w:vAlign w:val="center"/>
          </w:tcPr>
          <w:p w:rsidR="00727E0F" w:rsidRPr="00727E0F" w:rsidRDefault="00727E0F" w:rsidP="00727E0F">
            <w:pPr>
              <w:jc w:val="left"/>
              <w:rPr>
                <w:b/>
              </w:rPr>
            </w:pPr>
            <w:r>
              <w:t>Send</w:t>
            </w:r>
            <w:r w:rsidRPr="00727E0F">
              <w:t xml:space="preserve"> instrument(s) to:</w:t>
            </w:r>
            <w:r>
              <w:rPr>
                <w:b/>
              </w:rPr>
              <w:tab/>
            </w:r>
            <w:r w:rsidRPr="00727E0F">
              <w:rPr>
                <w:b/>
              </w:rPr>
              <w:t>RadPro</w:t>
            </w:r>
            <w:r w:rsidR="00084698">
              <w:rPr>
                <w:b/>
              </w:rPr>
              <w:t xml:space="preserve"> (Calibrations)</w:t>
            </w:r>
          </w:p>
          <w:p w:rsidR="00084698" w:rsidRDefault="00727E0F" w:rsidP="00727E0F">
            <w:pPr>
              <w:jc w:val="lef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084698">
              <w:rPr>
                <w:b/>
              </w:rPr>
              <w:t xml:space="preserve">C/- Avonhead </w:t>
            </w:r>
            <w:proofErr w:type="spellStart"/>
            <w:r w:rsidR="00084698">
              <w:rPr>
                <w:b/>
              </w:rPr>
              <w:t>PostShop</w:t>
            </w:r>
            <w:proofErr w:type="spellEnd"/>
          </w:p>
          <w:p w:rsidR="00727E0F" w:rsidRPr="00727E0F" w:rsidRDefault="00084698" w:rsidP="00727E0F">
            <w:pPr>
              <w:jc w:val="lef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210 </w:t>
            </w:r>
            <w:proofErr w:type="spellStart"/>
            <w:r>
              <w:rPr>
                <w:b/>
              </w:rPr>
              <w:t>Withells</w:t>
            </w:r>
            <w:proofErr w:type="spellEnd"/>
            <w:r>
              <w:rPr>
                <w:b/>
              </w:rPr>
              <w:t xml:space="preserve"> Road</w:t>
            </w:r>
          </w:p>
          <w:p w:rsidR="00727E0F" w:rsidRPr="00727E0F" w:rsidRDefault="00727E0F" w:rsidP="00727E0F">
            <w:pPr>
              <w:jc w:val="lef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727E0F">
              <w:rPr>
                <w:b/>
              </w:rPr>
              <w:t>Avonhead</w:t>
            </w:r>
          </w:p>
          <w:p w:rsidR="00727E0F" w:rsidRPr="00727E0F" w:rsidRDefault="00727E0F" w:rsidP="00727E0F">
            <w:pPr>
              <w:jc w:val="lef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727E0F">
              <w:rPr>
                <w:b/>
              </w:rPr>
              <w:t>Christchurch 8042</w:t>
            </w:r>
          </w:p>
          <w:p w:rsidR="00727E0F" w:rsidRPr="00727E0F" w:rsidRDefault="00727E0F" w:rsidP="00727E0F">
            <w:pPr>
              <w:jc w:val="lef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727E0F">
              <w:rPr>
                <w:b/>
              </w:rPr>
              <w:t>Phone: 03-741-1807</w:t>
            </w:r>
          </w:p>
        </w:tc>
      </w:tr>
      <w:tr w:rsidR="00727E0F" w:rsidTr="00727E0F">
        <w:trPr>
          <w:trHeight w:val="397"/>
        </w:trPr>
        <w:tc>
          <w:tcPr>
            <w:tcW w:w="2500" w:type="pct"/>
            <w:vAlign w:val="center"/>
          </w:tcPr>
          <w:p w:rsidR="00727E0F" w:rsidRDefault="00727E0F" w:rsidP="005F18CB">
            <w:pPr>
              <w:jc w:val="left"/>
            </w:pPr>
          </w:p>
        </w:tc>
        <w:tc>
          <w:tcPr>
            <w:tcW w:w="2500" w:type="pct"/>
            <w:vMerge/>
            <w:vAlign w:val="center"/>
          </w:tcPr>
          <w:p w:rsidR="00727E0F" w:rsidRDefault="00727E0F" w:rsidP="005F18CB">
            <w:pPr>
              <w:jc w:val="left"/>
            </w:pPr>
          </w:p>
        </w:tc>
      </w:tr>
      <w:tr w:rsidR="00727E0F" w:rsidTr="00727E0F">
        <w:trPr>
          <w:trHeight w:val="397"/>
        </w:trPr>
        <w:tc>
          <w:tcPr>
            <w:tcW w:w="2500" w:type="pct"/>
            <w:vAlign w:val="center"/>
          </w:tcPr>
          <w:p w:rsidR="00727E0F" w:rsidRDefault="00727E0F" w:rsidP="005F18CB">
            <w:pPr>
              <w:jc w:val="left"/>
            </w:pPr>
          </w:p>
        </w:tc>
        <w:tc>
          <w:tcPr>
            <w:tcW w:w="2500" w:type="pct"/>
            <w:vMerge/>
            <w:vAlign w:val="center"/>
          </w:tcPr>
          <w:p w:rsidR="00727E0F" w:rsidRDefault="00727E0F" w:rsidP="005F18CB">
            <w:pPr>
              <w:jc w:val="left"/>
            </w:pPr>
          </w:p>
        </w:tc>
      </w:tr>
      <w:tr w:rsidR="00727E0F" w:rsidTr="00727E0F">
        <w:trPr>
          <w:trHeight w:val="397"/>
        </w:trPr>
        <w:tc>
          <w:tcPr>
            <w:tcW w:w="2500" w:type="pct"/>
            <w:vAlign w:val="center"/>
          </w:tcPr>
          <w:p w:rsidR="00727E0F" w:rsidRDefault="00727E0F" w:rsidP="005F18CB">
            <w:pPr>
              <w:jc w:val="left"/>
            </w:pPr>
          </w:p>
        </w:tc>
        <w:tc>
          <w:tcPr>
            <w:tcW w:w="2500" w:type="pct"/>
            <w:vMerge/>
            <w:vAlign w:val="center"/>
          </w:tcPr>
          <w:p w:rsidR="00727E0F" w:rsidRDefault="00727E0F" w:rsidP="005F18CB">
            <w:pPr>
              <w:jc w:val="left"/>
            </w:pPr>
          </w:p>
        </w:tc>
      </w:tr>
      <w:tr w:rsidR="00727E0F" w:rsidTr="00727E0F">
        <w:trPr>
          <w:trHeight w:val="397"/>
        </w:trPr>
        <w:tc>
          <w:tcPr>
            <w:tcW w:w="2500" w:type="pct"/>
            <w:vAlign w:val="center"/>
          </w:tcPr>
          <w:p w:rsidR="00727E0F" w:rsidRDefault="00727E0F" w:rsidP="005F18CB">
            <w:pPr>
              <w:jc w:val="left"/>
            </w:pPr>
          </w:p>
        </w:tc>
        <w:tc>
          <w:tcPr>
            <w:tcW w:w="2500" w:type="pct"/>
            <w:vMerge/>
            <w:vAlign w:val="center"/>
          </w:tcPr>
          <w:p w:rsidR="00727E0F" w:rsidRDefault="00727E0F" w:rsidP="005F18CB">
            <w:pPr>
              <w:jc w:val="left"/>
            </w:pPr>
          </w:p>
        </w:tc>
      </w:tr>
    </w:tbl>
    <w:p w:rsidR="005F18CB" w:rsidRDefault="005F18CB" w:rsidP="006964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F18CB" w:rsidTr="009D590D">
        <w:tc>
          <w:tcPr>
            <w:tcW w:w="4621" w:type="dxa"/>
            <w:shd w:val="clear" w:color="auto" w:fill="D9D9D9" w:themeFill="background1" w:themeFillShade="D9"/>
            <w:vAlign w:val="center"/>
          </w:tcPr>
          <w:p w:rsidR="005F18CB" w:rsidRDefault="005F18CB" w:rsidP="00312301">
            <w:pPr>
              <w:jc w:val="left"/>
            </w:pPr>
            <w:r>
              <w:t>Mailing address for sending calibration certificate(s):</w:t>
            </w:r>
          </w:p>
        </w:tc>
        <w:tc>
          <w:tcPr>
            <w:tcW w:w="4621" w:type="dxa"/>
            <w:shd w:val="clear" w:color="auto" w:fill="D9D9D9" w:themeFill="background1" w:themeFillShade="D9"/>
            <w:vAlign w:val="center"/>
          </w:tcPr>
          <w:p w:rsidR="005F18CB" w:rsidRDefault="005F18CB" w:rsidP="00312301">
            <w:pPr>
              <w:jc w:val="left"/>
            </w:pPr>
            <w:r>
              <w:t>Return address for instrument(s):</w:t>
            </w:r>
          </w:p>
        </w:tc>
      </w:tr>
      <w:tr w:rsidR="005F18CB" w:rsidTr="00312301">
        <w:trPr>
          <w:trHeight w:val="397"/>
        </w:trPr>
        <w:tc>
          <w:tcPr>
            <w:tcW w:w="4621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4621" w:type="dxa"/>
            <w:vAlign w:val="center"/>
          </w:tcPr>
          <w:p w:rsidR="005F18CB" w:rsidRDefault="005F18CB" w:rsidP="00312301">
            <w:pPr>
              <w:jc w:val="left"/>
            </w:pPr>
          </w:p>
        </w:tc>
      </w:tr>
      <w:tr w:rsidR="005F18CB" w:rsidTr="00312301">
        <w:trPr>
          <w:trHeight w:val="397"/>
        </w:trPr>
        <w:tc>
          <w:tcPr>
            <w:tcW w:w="4621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4621" w:type="dxa"/>
            <w:vAlign w:val="center"/>
          </w:tcPr>
          <w:p w:rsidR="005F18CB" w:rsidRDefault="005F18CB" w:rsidP="00312301">
            <w:pPr>
              <w:jc w:val="left"/>
            </w:pPr>
          </w:p>
        </w:tc>
      </w:tr>
      <w:tr w:rsidR="005F18CB" w:rsidTr="00312301">
        <w:trPr>
          <w:trHeight w:val="397"/>
        </w:trPr>
        <w:tc>
          <w:tcPr>
            <w:tcW w:w="4621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4621" w:type="dxa"/>
            <w:vAlign w:val="center"/>
          </w:tcPr>
          <w:p w:rsidR="005F18CB" w:rsidRDefault="005F18CB" w:rsidP="00312301">
            <w:pPr>
              <w:jc w:val="left"/>
            </w:pPr>
          </w:p>
        </w:tc>
      </w:tr>
      <w:tr w:rsidR="005F18CB" w:rsidTr="00312301">
        <w:trPr>
          <w:trHeight w:val="397"/>
        </w:trPr>
        <w:tc>
          <w:tcPr>
            <w:tcW w:w="4621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4621" w:type="dxa"/>
            <w:vAlign w:val="center"/>
          </w:tcPr>
          <w:p w:rsidR="005F18CB" w:rsidRDefault="005F18CB" w:rsidP="00312301">
            <w:pPr>
              <w:jc w:val="left"/>
            </w:pPr>
          </w:p>
        </w:tc>
      </w:tr>
      <w:tr w:rsidR="005F18CB" w:rsidTr="00312301">
        <w:trPr>
          <w:trHeight w:val="397"/>
        </w:trPr>
        <w:tc>
          <w:tcPr>
            <w:tcW w:w="4621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4621" w:type="dxa"/>
            <w:vAlign w:val="center"/>
          </w:tcPr>
          <w:p w:rsidR="005F18CB" w:rsidRDefault="005F18CB" w:rsidP="00312301">
            <w:pPr>
              <w:jc w:val="left"/>
            </w:pPr>
          </w:p>
        </w:tc>
      </w:tr>
    </w:tbl>
    <w:p w:rsidR="00B119CC" w:rsidRDefault="00B119CC" w:rsidP="006964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3889"/>
      </w:tblGrid>
      <w:tr w:rsidR="005F18CB" w:rsidTr="009D590D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F18CB" w:rsidRDefault="005F18CB" w:rsidP="00312301">
            <w:pPr>
              <w:jc w:val="left"/>
            </w:pPr>
            <w:r>
              <w:t>Instrument make: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F18CB" w:rsidRDefault="005F18CB" w:rsidP="00312301">
            <w:pPr>
              <w:jc w:val="left"/>
            </w:pPr>
            <w:r>
              <w:t>Model: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F18CB" w:rsidRDefault="005F18CB" w:rsidP="00312301">
            <w:pPr>
              <w:jc w:val="left"/>
            </w:pPr>
            <w:r>
              <w:t>Serial number:</w:t>
            </w: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:rsidR="005F18CB" w:rsidRDefault="005F18CB" w:rsidP="00312301">
            <w:pPr>
              <w:jc w:val="left"/>
            </w:pPr>
            <w:r>
              <w:t>Accessories to be sent:</w:t>
            </w:r>
          </w:p>
        </w:tc>
      </w:tr>
      <w:tr w:rsidR="005F18CB" w:rsidTr="00312301">
        <w:trPr>
          <w:trHeight w:val="397"/>
        </w:trPr>
        <w:tc>
          <w:tcPr>
            <w:tcW w:w="2518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1418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1417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3889" w:type="dxa"/>
            <w:vAlign w:val="center"/>
          </w:tcPr>
          <w:p w:rsidR="005F18CB" w:rsidRDefault="005F18CB" w:rsidP="00312301">
            <w:pPr>
              <w:jc w:val="left"/>
            </w:pPr>
          </w:p>
        </w:tc>
      </w:tr>
      <w:tr w:rsidR="005F18CB" w:rsidTr="00312301">
        <w:trPr>
          <w:trHeight w:val="397"/>
        </w:trPr>
        <w:tc>
          <w:tcPr>
            <w:tcW w:w="2518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1418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1417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3889" w:type="dxa"/>
            <w:vAlign w:val="center"/>
          </w:tcPr>
          <w:p w:rsidR="005F18CB" w:rsidRDefault="005F18CB" w:rsidP="00312301">
            <w:pPr>
              <w:jc w:val="left"/>
            </w:pPr>
          </w:p>
        </w:tc>
      </w:tr>
      <w:tr w:rsidR="005F18CB" w:rsidTr="00312301">
        <w:trPr>
          <w:trHeight w:val="397"/>
        </w:trPr>
        <w:tc>
          <w:tcPr>
            <w:tcW w:w="2518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1418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1417" w:type="dxa"/>
            <w:vAlign w:val="center"/>
          </w:tcPr>
          <w:p w:rsidR="005F18CB" w:rsidRDefault="005F18CB" w:rsidP="00312301">
            <w:pPr>
              <w:jc w:val="left"/>
            </w:pPr>
          </w:p>
        </w:tc>
        <w:tc>
          <w:tcPr>
            <w:tcW w:w="3889" w:type="dxa"/>
            <w:vAlign w:val="center"/>
          </w:tcPr>
          <w:p w:rsidR="005F18CB" w:rsidRDefault="005F18CB" w:rsidP="00312301">
            <w:pPr>
              <w:jc w:val="left"/>
            </w:pPr>
          </w:p>
        </w:tc>
      </w:tr>
    </w:tbl>
    <w:p w:rsidR="005F18CB" w:rsidRDefault="005F18CB" w:rsidP="006964F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312301" w:rsidTr="009D590D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312301" w:rsidRDefault="00312301" w:rsidP="006E28A3">
            <w:pPr>
              <w:jc w:val="left"/>
            </w:pPr>
            <w:r>
              <w:t>Scope of work:</w:t>
            </w:r>
          </w:p>
        </w:tc>
      </w:tr>
      <w:tr w:rsidR="00312301" w:rsidTr="00A45967">
        <w:trPr>
          <w:trHeight w:val="1191"/>
        </w:trPr>
        <w:tc>
          <w:tcPr>
            <w:tcW w:w="5000" w:type="pct"/>
            <w:vAlign w:val="center"/>
          </w:tcPr>
          <w:p w:rsidR="00312301" w:rsidRDefault="00312301" w:rsidP="006E28A3">
            <w:pPr>
              <w:jc w:val="left"/>
            </w:pPr>
          </w:p>
        </w:tc>
      </w:tr>
    </w:tbl>
    <w:p w:rsidR="00312301" w:rsidRDefault="00312301" w:rsidP="006964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6299"/>
      </w:tblGrid>
      <w:tr w:rsidR="00312301" w:rsidTr="009D590D"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312301" w:rsidRDefault="00E9775E" w:rsidP="00E9775E">
            <w:pPr>
              <w:jc w:val="left"/>
            </w:pPr>
            <w:r>
              <w:t>Schedule of charges</w:t>
            </w:r>
            <w:r w:rsidR="007440DE">
              <w:t xml:space="preserve"> (excl. GST)</w:t>
            </w:r>
            <w:r>
              <w:t>:</w:t>
            </w:r>
          </w:p>
        </w:tc>
        <w:tc>
          <w:tcPr>
            <w:tcW w:w="6299" w:type="dxa"/>
            <w:shd w:val="clear" w:color="auto" w:fill="D9D9D9" w:themeFill="background1" w:themeFillShade="D9"/>
            <w:vAlign w:val="center"/>
          </w:tcPr>
          <w:p w:rsidR="00312301" w:rsidRDefault="00312301" w:rsidP="00312301">
            <w:pPr>
              <w:jc w:val="left"/>
            </w:pPr>
            <w:r>
              <w:t>Additional information or special instructions:</w:t>
            </w:r>
          </w:p>
        </w:tc>
      </w:tr>
      <w:tr w:rsidR="00312301" w:rsidTr="009D590D">
        <w:trPr>
          <w:trHeight w:val="39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312301" w:rsidRDefault="00312301" w:rsidP="00E9775E">
            <w:pPr>
              <w:jc w:val="left"/>
            </w:pPr>
            <w:r>
              <w:t>Calibration</w:t>
            </w:r>
            <w:r w:rsidR="00E9775E">
              <w:t xml:space="preserve"> fee</w:t>
            </w:r>
            <w:r w:rsidR="0018152B">
              <w:t>s</w:t>
            </w:r>
            <w:r>
              <w:t>:</w:t>
            </w:r>
          </w:p>
        </w:tc>
        <w:tc>
          <w:tcPr>
            <w:tcW w:w="1275" w:type="dxa"/>
            <w:vAlign w:val="center"/>
          </w:tcPr>
          <w:p w:rsidR="00312301" w:rsidRDefault="009B6B67" w:rsidP="00312301">
            <w:pPr>
              <w:jc w:val="right"/>
            </w:pPr>
            <w:r>
              <w:t>$</w:t>
            </w:r>
          </w:p>
        </w:tc>
        <w:tc>
          <w:tcPr>
            <w:tcW w:w="6299" w:type="dxa"/>
            <w:vMerge w:val="restart"/>
            <w:vAlign w:val="center"/>
          </w:tcPr>
          <w:p w:rsidR="00312301" w:rsidRDefault="00312301" w:rsidP="00312301">
            <w:pPr>
              <w:jc w:val="left"/>
            </w:pPr>
          </w:p>
        </w:tc>
      </w:tr>
      <w:tr w:rsidR="00312301" w:rsidTr="009D590D">
        <w:trPr>
          <w:trHeight w:val="39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312301" w:rsidRDefault="00312301" w:rsidP="00312301">
            <w:pPr>
              <w:jc w:val="left"/>
            </w:pPr>
            <w:r>
              <w:t>Return freight:</w:t>
            </w:r>
          </w:p>
        </w:tc>
        <w:tc>
          <w:tcPr>
            <w:tcW w:w="1275" w:type="dxa"/>
            <w:vAlign w:val="center"/>
          </w:tcPr>
          <w:p w:rsidR="00312301" w:rsidRDefault="009B6B67" w:rsidP="00312301">
            <w:pPr>
              <w:jc w:val="right"/>
            </w:pPr>
            <w:r>
              <w:t>$</w:t>
            </w:r>
          </w:p>
        </w:tc>
        <w:tc>
          <w:tcPr>
            <w:tcW w:w="6299" w:type="dxa"/>
            <w:vMerge/>
            <w:vAlign w:val="center"/>
          </w:tcPr>
          <w:p w:rsidR="00312301" w:rsidRDefault="00312301" w:rsidP="006E28A3">
            <w:pPr>
              <w:jc w:val="left"/>
            </w:pPr>
          </w:p>
        </w:tc>
      </w:tr>
      <w:tr w:rsidR="00312301" w:rsidTr="009D590D">
        <w:trPr>
          <w:trHeight w:val="39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312301" w:rsidRDefault="00312301" w:rsidP="00E9775E">
            <w:pPr>
              <w:jc w:val="left"/>
            </w:pPr>
            <w:r>
              <w:t>Other:</w:t>
            </w:r>
          </w:p>
        </w:tc>
        <w:tc>
          <w:tcPr>
            <w:tcW w:w="1275" w:type="dxa"/>
            <w:vAlign w:val="center"/>
          </w:tcPr>
          <w:p w:rsidR="00312301" w:rsidRDefault="009B6B67" w:rsidP="00312301">
            <w:pPr>
              <w:jc w:val="right"/>
            </w:pPr>
            <w:r>
              <w:t>$</w:t>
            </w:r>
          </w:p>
        </w:tc>
        <w:tc>
          <w:tcPr>
            <w:tcW w:w="6299" w:type="dxa"/>
            <w:vMerge/>
            <w:vAlign w:val="center"/>
          </w:tcPr>
          <w:p w:rsidR="00312301" w:rsidRDefault="00312301" w:rsidP="006E28A3">
            <w:pPr>
              <w:jc w:val="left"/>
            </w:pPr>
          </w:p>
        </w:tc>
      </w:tr>
      <w:tr w:rsidR="00312301" w:rsidTr="009D590D">
        <w:trPr>
          <w:trHeight w:val="39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312301" w:rsidRDefault="00312301" w:rsidP="006E28A3">
            <w:pPr>
              <w:jc w:val="left"/>
            </w:pPr>
            <w:r>
              <w:t>Total</w:t>
            </w:r>
            <w:r w:rsidR="00E9775E">
              <w:t xml:space="preserve"> cost</w:t>
            </w:r>
            <w:r>
              <w:t>:</w:t>
            </w:r>
          </w:p>
        </w:tc>
        <w:tc>
          <w:tcPr>
            <w:tcW w:w="1275" w:type="dxa"/>
            <w:vAlign w:val="center"/>
          </w:tcPr>
          <w:p w:rsidR="00312301" w:rsidRDefault="009B6B67" w:rsidP="00312301">
            <w:pPr>
              <w:jc w:val="right"/>
            </w:pPr>
            <w:r>
              <w:t>$</w:t>
            </w:r>
          </w:p>
        </w:tc>
        <w:tc>
          <w:tcPr>
            <w:tcW w:w="6299" w:type="dxa"/>
            <w:vMerge/>
            <w:vAlign w:val="center"/>
          </w:tcPr>
          <w:p w:rsidR="00312301" w:rsidRDefault="00312301" w:rsidP="006E28A3">
            <w:pPr>
              <w:jc w:val="left"/>
            </w:pPr>
          </w:p>
        </w:tc>
      </w:tr>
    </w:tbl>
    <w:p w:rsidR="00312301" w:rsidRDefault="00312301" w:rsidP="006964F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0"/>
        <w:gridCol w:w="3379"/>
        <w:gridCol w:w="1157"/>
        <w:gridCol w:w="3466"/>
      </w:tblGrid>
      <w:tr w:rsidR="00A45967" w:rsidTr="009D590D">
        <w:tc>
          <w:tcPr>
            <w:tcW w:w="2499" w:type="pct"/>
            <w:gridSpan w:val="2"/>
            <w:shd w:val="clear" w:color="auto" w:fill="D9D9D9" w:themeFill="background1" w:themeFillShade="D9"/>
            <w:vAlign w:val="center"/>
          </w:tcPr>
          <w:p w:rsidR="00A45967" w:rsidRDefault="00A45967" w:rsidP="006E28A3">
            <w:pPr>
              <w:jc w:val="left"/>
            </w:pPr>
            <w:r>
              <w:t>On behalf of the Customer:</w:t>
            </w:r>
          </w:p>
        </w:tc>
        <w:tc>
          <w:tcPr>
            <w:tcW w:w="2501" w:type="pct"/>
            <w:gridSpan w:val="2"/>
            <w:shd w:val="clear" w:color="auto" w:fill="D9D9D9" w:themeFill="background1" w:themeFillShade="D9"/>
            <w:vAlign w:val="center"/>
          </w:tcPr>
          <w:p w:rsidR="00A45967" w:rsidRDefault="00A45967" w:rsidP="00A45967">
            <w:pPr>
              <w:jc w:val="left"/>
            </w:pPr>
            <w:r>
              <w:t>On behalf of</w:t>
            </w:r>
            <w:bookmarkStart w:id="0" w:name="_GoBack"/>
            <w:bookmarkEnd w:id="0"/>
            <w:r>
              <w:t xml:space="preserve"> Radiation Protection Services Limited:</w:t>
            </w:r>
          </w:p>
        </w:tc>
      </w:tr>
      <w:tr w:rsidR="00A45967" w:rsidTr="009D590D">
        <w:trPr>
          <w:trHeight w:val="397"/>
        </w:trPr>
        <w:tc>
          <w:tcPr>
            <w:tcW w:w="671" w:type="pct"/>
            <w:shd w:val="clear" w:color="auto" w:fill="D9D9D9" w:themeFill="background1" w:themeFillShade="D9"/>
            <w:vAlign w:val="center"/>
          </w:tcPr>
          <w:p w:rsidR="00A45967" w:rsidRDefault="00A45967" w:rsidP="006E28A3">
            <w:pPr>
              <w:jc w:val="left"/>
            </w:pPr>
            <w:r>
              <w:t>Signature:</w:t>
            </w:r>
          </w:p>
        </w:tc>
        <w:tc>
          <w:tcPr>
            <w:tcW w:w="1828" w:type="pct"/>
            <w:vAlign w:val="center"/>
          </w:tcPr>
          <w:p w:rsidR="00A45967" w:rsidRDefault="00A45967" w:rsidP="006E28A3">
            <w:pPr>
              <w:jc w:val="left"/>
            </w:pP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A45967" w:rsidRDefault="00A45967" w:rsidP="006E28A3">
            <w:pPr>
              <w:jc w:val="left"/>
            </w:pPr>
            <w:r>
              <w:t>Signature:</w:t>
            </w:r>
          </w:p>
        </w:tc>
        <w:tc>
          <w:tcPr>
            <w:tcW w:w="1874" w:type="pct"/>
            <w:vAlign w:val="center"/>
          </w:tcPr>
          <w:p w:rsidR="00A45967" w:rsidRDefault="00A45967" w:rsidP="006E28A3">
            <w:pPr>
              <w:jc w:val="left"/>
            </w:pPr>
          </w:p>
        </w:tc>
      </w:tr>
      <w:tr w:rsidR="00A45967" w:rsidTr="009D590D">
        <w:trPr>
          <w:trHeight w:val="397"/>
        </w:trPr>
        <w:tc>
          <w:tcPr>
            <w:tcW w:w="671" w:type="pct"/>
            <w:shd w:val="clear" w:color="auto" w:fill="D9D9D9" w:themeFill="background1" w:themeFillShade="D9"/>
            <w:vAlign w:val="center"/>
          </w:tcPr>
          <w:p w:rsidR="00A45967" w:rsidRDefault="00A45967" w:rsidP="006E28A3">
            <w:pPr>
              <w:jc w:val="left"/>
            </w:pPr>
            <w:r>
              <w:t>Name:</w:t>
            </w:r>
          </w:p>
        </w:tc>
        <w:tc>
          <w:tcPr>
            <w:tcW w:w="1828" w:type="pct"/>
            <w:vAlign w:val="center"/>
          </w:tcPr>
          <w:p w:rsidR="00A45967" w:rsidRDefault="00A45967" w:rsidP="006E28A3">
            <w:pPr>
              <w:jc w:val="left"/>
            </w:pP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A45967" w:rsidRDefault="00A45967" w:rsidP="006E28A3">
            <w:pPr>
              <w:jc w:val="left"/>
            </w:pPr>
            <w:r>
              <w:t>Name:</w:t>
            </w:r>
          </w:p>
        </w:tc>
        <w:tc>
          <w:tcPr>
            <w:tcW w:w="1874" w:type="pct"/>
            <w:vAlign w:val="center"/>
          </w:tcPr>
          <w:p w:rsidR="00A45967" w:rsidRDefault="00A45967" w:rsidP="006E28A3">
            <w:pPr>
              <w:jc w:val="left"/>
            </w:pPr>
          </w:p>
        </w:tc>
      </w:tr>
      <w:tr w:rsidR="00A45967" w:rsidTr="009D590D">
        <w:trPr>
          <w:trHeight w:val="397"/>
        </w:trPr>
        <w:tc>
          <w:tcPr>
            <w:tcW w:w="671" w:type="pct"/>
            <w:shd w:val="clear" w:color="auto" w:fill="D9D9D9" w:themeFill="background1" w:themeFillShade="D9"/>
            <w:vAlign w:val="center"/>
          </w:tcPr>
          <w:p w:rsidR="00A45967" w:rsidRDefault="00A45967" w:rsidP="006E28A3">
            <w:pPr>
              <w:jc w:val="left"/>
            </w:pPr>
            <w:r>
              <w:t>Date:</w:t>
            </w:r>
          </w:p>
        </w:tc>
        <w:tc>
          <w:tcPr>
            <w:tcW w:w="1828" w:type="pct"/>
            <w:vAlign w:val="center"/>
          </w:tcPr>
          <w:p w:rsidR="00A45967" w:rsidRDefault="00A45967" w:rsidP="006E28A3">
            <w:pPr>
              <w:jc w:val="left"/>
            </w:pP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A45967" w:rsidRDefault="00A45967" w:rsidP="006E28A3">
            <w:pPr>
              <w:jc w:val="left"/>
            </w:pPr>
            <w:r>
              <w:t>Date:</w:t>
            </w:r>
          </w:p>
        </w:tc>
        <w:tc>
          <w:tcPr>
            <w:tcW w:w="1874" w:type="pct"/>
            <w:vAlign w:val="center"/>
          </w:tcPr>
          <w:p w:rsidR="00A45967" w:rsidRDefault="00A45967" w:rsidP="006E28A3">
            <w:pPr>
              <w:jc w:val="left"/>
            </w:pPr>
          </w:p>
        </w:tc>
      </w:tr>
    </w:tbl>
    <w:p w:rsidR="00A45967" w:rsidRDefault="00A45967" w:rsidP="006964F7">
      <w:pPr>
        <w:sectPr w:rsidR="00A45967" w:rsidSect="00A45967">
          <w:headerReference w:type="default" r:id="rId9"/>
          <w:footerReference w:type="default" r:id="rId10"/>
          <w:type w:val="continuous"/>
          <w:pgSz w:w="11906" w:h="16838" w:code="9"/>
          <w:pgMar w:top="1134" w:right="1440" w:bottom="1134" w:left="1440" w:header="567" w:footer="567" w:gutter="0"/>
          <w:cols w:space="708"/>
          <w:docGrid w:linePitch="360"/>
        </w:sectPr>
      </w:pPr>
    </w:p>
    <w:p w:rsidR="006964F7" w:rsidRPr="006964F7" w:rsidRDefault="006964F7" w:rsidP="006964F7">
      <w:pPr>
        <w:rPr>
          <w:sz w:val="16"/>
          <w:szCs w:val="16"/>
        </w:rPr>
      </w:pPr>
      <w:r w:rsidRPr="006964F7">
        <w:rPr>
          <w:sz w:val="16"/>
          <w:szCs w:val="16"/>
        </w:rPr>
        <w:lastRenderedPageBreak/>
        <w:t>All services or products supplied by Radiation Protection Services Limited</w:t>
      </w:r>
      <w:r w:rsidR="00705F7F">
        <w:rPr>
          <w:sz w:val="16"/>
          <w:szCs w:val="16"/>
        </w:rPr>
        <w:t xml:space="preserve"> (</w:t>
      </w:r>
      <w:r w:rsidRPr="006964F7">
        <w:rPr>
          <w:sz w:val="16"/>
          <w:szCs w:val="16"/>
        </w:rPr>
        <w:t xml:space="preserve">hereafter called “RadPro”, </w:t>
      </w:r>
      <w:r w:rsidR="005612D1">
        <w:rPr>
          <w:sz w:val="16"/>
          <w:szCs w:val="16"/>
        </w:rPr>
        <w:t xml:space="preserve">“us”, </w:t>
      </w:r>
      <w:r w:rsidRPr="006964F7">
        <w:rPr>
          <w:sz w:val="16"/>
          <w:szCs w:val="16"/>
        </w:rPr>
        <w:t>“we” or “</w:t>
      </w:r>
      <w:r w:rsidR="005612D1">
        <w:rPr>
          <w:sz w:val="16"/>
          <w:szCs w:val="16"/>
        </w:rPr>
        <w:t>C</w:t>
      </w:r>
      <w:r w:rsidRPr="006964F7">
        <w:rPr>
          <w:sz w:val="16"/>
          <w:szCs w:val="16"/>
        </w:rPr>
        <w:t>ompany”</w:t>
      </w:r>
      <w:r w:rsidR="00705F7F">
        <w:rPr>
          <w:sz w:val="16"/>
          <w:szCs w:val="16"/>
        </w:rPr>
        <w:t>)</w:t>
      </w:r>
      <w:r w:rsidRPr="006964F7">
        <w:rPr>
          <w:sz w:val="16"/>
          <w:szCs w:val="16"/>
        </w:rPr>
        <w:t xml:space="preserve">, provided to or for its customers </w:t>
      </w:r>
      <w:r w:rsidR="00705F7F">
        <w:rPr>
          <w:sz w:val="16"/>
          <w:szCs w:val="16"/>
        </w:rPr>
        <w:t>(</w:t>
      </w:r>
      <w:r w:rsidRPr="006964F7">
        <w:rPr>
          <w:sz w:val="16"/>
          <w:szCs w:val="16"/>
        </w:rPr>
        <w:t>hereafter called “Customer”, “you”</w:t>
      </w:r>
      <w:r w:rsidR="00705F7F">
        <w:rPr>
          <w:sz w:val="16"/>
          <w:szCs w:val="16"/>
        </w:rPr>
        <w:t>)</w:t>
      </w:r>
      <w:r w:rsidRPr="006964F7">
        <w:rPr>
          <w:sz w:val="16"/>
          <w:szCs w:val="16"/>
        </w:rPr>
        <w:t>, are made under the following terms and conditions. The Company reserves the right to cancel any contract at any time, without cause, by notice in writing to the Customer.</w:t>
      </w:r>
      <w:r w:rsidR="005612D1">
        <w:rPr>
          <w:sz w:val="16"/>
          <w:szCs w:val="16"/>
        </w:rPr>
        <w:t xml:space="preserve"> </w:t>
      </w:r>
      <w:r w:rsidRPr="006964F7">
        <w:rPr>
          <w:sz w:val="16"/>
          <w:szCs w:val="16"/>
        </w:rPr>
        <w:t>These terms and conditions may change at any time without notice:</w:t>
      </w:r>
    </w:p>
    <w:p w:rsidR="006964F7" w:rsidRPr="005612D1" w:rsidRDefault="006964F7" w:rsidP="001F689A">
      <w:pPr>
        <w:pStyle w:val="ListParagraph"/>
        <w:numPr>
          <w:ilvl w:val="0"/>
          <w:numId w:val="1"/>
        </w:numPr>
        <w:spacing w:before="100"/>
        <w:ind w:left="357" w:hanging="357"/>
        <w:contextualSpacing w:val="0"/>
        <w:rPr>
          <w:sz w:val="16"/>
          <w:szCs w:val="16"/>
        </w:rPr>
      </w:pPr>
      <w:r w:rsidRPr="005612D1">
        <w:rPr>
          <w:sz w:val="16"/>
          <w:szCs w:val="16"/>
        </w:rPr>
        <w:t>ACCEPTANCE OF ORDER:</w:t>
      </w:r>
      <w:r w:rsidR="00C31A6F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Agreement by the Customer to furnish product, instruments or devices</w:t>
      </w:r>
      <w:r w:rsidR="00C31A6F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to </w:t>
      </w:r>
      <w:r w:rsidR="00C31A6F">
        <w:rPr>
          <w:sz w:val="16"/>
          <w:szCs w:val="16"/>
        </w:rPr>
        <w:t>RadPro</w:t>
      </w:r>
      <w:r w:rsidR="006A6011">
        <w:rPr>
          <w:sz w:val="16"/>
          <w:szCs w:val="16"/>
        </w:rPr>
        <w:t xml:space="preserve"> for service</w:t>
      </w:r>
      <w:r w:rsidRPr="005612D1">
        <w:rPr>
          <w:sz w:val="16"/>
          <w:szCs w:val="16"/>
        </w:rPr>
        <w:t xml:space="preserve"> constitutes a complete acceptance of these Terms and</w:t>
      </w:r>
      <w:r w:rsidR="00C31A6F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Conditions. This agreement applies to any</w:t>
      </w:r>
      <w:r w:rsidR="00C54D02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Work</w:t>
      </w:r>
      <w:r w:rsidR="00C31A6F">
        <w:rPr>
          <w:sz w:val="16"/>
          <w:szCs w:val="16"/>
        </w:rPr>
        <w:t xml:space="preserve"> O</w:t>
      </w:r>
      <w:r w:rsidRPr="005612D1">
        <w:rPr>
          <w:sz w:val="16"/>
          <w:szCs w:val="16"/>
        </w:rPr>
        <w:t xml:space="preserve">rder, </w:t>
      </w:r>
      <w:r w:rsidR="00C54D02" w:rsidRPr="005612D1">
        <w:rPr>
          <w:sz w:val="16"/>
          <w:szCs w:val="16"/>
        </w:rPr>
        <w:t>Purchase Order</w:t>
      </w:r>
      <w:r w:rsidR="00C54D02">
        <w:rPr>
          <w:sz w:val="16"/>
          <w:szCs w:val="16"/>
        </w:rPr>
        <w:t>,</w:t>
      </w:r>
      <w:r w:rsidR="00C54D02" w:rsidRPr="005612D1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verbal agreement or any similar contract, written or unwritten,</w:t>
      </w:r>
      <w:r w:rsidR="00C31A6F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furnished by the Customer to </w:t>
      </w:r>
      <w:r w:rsidR="00C31A6F">
        <w:rPr>
          <w:sz w:val="16"/>
          <w:szCs w:val="16"/>
        </w:rPr>
        <w:t>RadPro</w:t>
      </w:r>
      <w:r w:rsidRPr="005612D1">
        <w:rPr>
          <w:sz w:val="16"/>
          <w:szCs w:val="16"/>
        </w:rPr>
        <w:t xml:space="preserve"> or any of its agents.</w:t>
      </w:r>
    </w:p>
    <w:p w:rsidR="006964F7" w:rsidRPr="005612D1" w:rsidRDefault="006964F7" w:rsidP="001F689A">
      <w:pPr>
        <w:pStyle w:val="ListParagraph"/>
        <w:numPr>
          <w:ilvl w:val="0"/>
          <w:numId w:val="1"/>
        </w:numPr>
        <w:spacing w:before="100"/>
        <w:ind w:left="357" w:hanging="357"/>
        <w:contextualSpacing w:val="0"/>
        <w:rPr>
          <w:sz w:val="16"/>
          <w:szCs w:val="16"/>
        </w:rPr>
      </w:pPr>
      <w:r w:rsidRPr="005612D1">
        <w:rPr>
          <w:sz w:val="16"/>
          <w:szCs w:val="16"/>
        </w:rPr>
        <w:t>SHIPPING INSTRUCTIONS:</w:t>
      </w:r>
      <w:r w:rsidR="00C54D02">
        <w:rPr>
          <w:sz w:val="16"/>
          <w:szCs w:val="16"/>
        </w:rPr>
        <w:t xml:space="preserve"> RadPro</w:t>
      </w:r>
      <w:r w:rsidRPr="005612D1">
        <w:rPr>
          <w:sz w:val="16"/>
          <w:szCs w:val="16"/>
        </w:rPr>
        <w:t xml:space="preserve"> is not responsible for damage during shipping to </w:t>
      </w:r>
      <w:r w:rsidR="000910C1">
        <w:rPr>
          <w:sz w:val="16"/>
          <w:szCs w:val="16"/>
        </w:rPr>
        <w:t xml:space="preserve">or from </w:t>
      </w:r>
      <w:r w:rsidRPr="005612D1">
        <w:rPr>
          <w:sz w:val="16"/>
          <w:szCs w:val="16"/>
        </w:rPr>
        <w:t>its facility. The</w:t>
      </w:r>
      <w:r w:rsidR="00C54D02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Customer must ensure proper packing of the instruments being sent to</w:t>
      </w:r>
      <w:r w:rsidR="00C54D02">
        <w:rPr>
          <w:sz w:val="16"/>
          <w:szCs w:val="16"/>
        </w:rPr>
        <w:t xml:space="preserve"> RadPro </w:t>
      </w:r>
      <w:r w:rsidRPr="005612D1">
        <w:rPr>
          <w:sz w:val="16"/>
          <w:szCs w:val="16"/>
        </w:rPr>
        <w:t>for services. Special care must be taken with heavy instruments,</w:t>
      </w:r>
      <w:r w:rsidR="00C54D02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apparatus with odd or protruding shapes, </w:t>
      </w:r>
      <w:r w:rsidR="00C54D02">
        <w:rPr>
          <w:sz w:val="16"/>
          <w:szCs w:val="16"/>
        </w:rPr>
        <w:t xml:space="preserve">or </w:t>
      </w:r>
      <w:r w:rsidRPr="005612D1">
        <w:rPr>
          <w:sz w:val="16"/>
          <w:szCs w:val="16"/>
        </w:rPr>
        <w:t>devices that contain glass or</w:t>
      </w:r>
      <w:r w:rsidR="00C54D02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liquid. </w:t>
      </w:r>
      <w:r w:rsidR="00705F7F" w:rsidRPr="005612D1">
        <w:rPr>
          <w:sz w:val="16"/>
          <w:szCs w:val="16"/>
        </w:rPr>
        <w:t>Always insure your shipments to protect</w:t>
      </w:r>
      <w:r w:rsidR="00C54D02">
        <w:rPr>
          <w:sz w:val="16"/>
          <w:szCs w:val="16"/>
        </w:rPr>
        <w:t xml:space="preserve"> </w:t>
      </w:r>
      <w:r w:rsidR="00705F7F" w:rsidRPr="005612D1">
        <w:rPr>
          <w:sz w:val="16"/>
          <w:szCs w:val="16"/>
        </w:rPr>
        <w:t>yourself</w:t>
      </w:r>
      <w:r w:rsidRPr="005612D1">
        <w:rPr>
          <w:sz w:val="16"/>
          <w:szCs w:val="16"/>
        </w:rPr>
        <w:t xml:space="preserve">. If any damage is evident during the </w:t>
      </w:r>
      <w:r w:rsidR="00705F7F">
        <w:rPr>
          <w:sz w:val="16"/>
          <w:szCs w:val="16"/>
        </w:rPr>
        <w:t>receipt of customer goods</w:t>
      </w:r>
      <w:r w:rsidRPr="005612D1">
        <w:rPr>
          <w:sz w:val="16"/>
          <w:szCs w:val="16"/>
        </w:rPr>
        <w:t xml:space="preserve"> process, </w:t>
      </w:r>
      <w:r w:rsidR="00C54D02">
        <w:rPr>
          <w:sz w:val="16"/>
          <w:szCs w:val="16"/>
        </w:rPr>
        <w:t xml:space="preserve">we </w:t>
      </w:r>
      <w:r w:rsidRPr="005612D1">
        <w:rPr>
          <w:sz w:val="16"/>
          <w:szCs w:val="16"/>
        </w:rPr>
        <w:t xml:space="preserve">will contact </w:t>
      </w:r>
      <w:r w:rsidR="00E57FEA">
        <w:rPr>
          <w:sz w:val="16"/>
          <w:szCs w:val="16"/>
        </w:rPr>
        <w:t xml:space="preserve">you </w:t>
      </w:r>
      <w:r w:rsidRPr="005612D1">
        <w:rPr>
          <w:sz w:val="16"/>
          <w:szCs w:val="16"/>
        </w:rPr>
        <w:t>to discuss the</w:t>
      </w:r>
      <w:r w:rsidR="00C54D02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situation and ask</w:t>
      </w:r>
      <w:r w:rsidR="00705F7F">
        <w:rPr>
          <w:sz w:val="16"/>
          <w:szCs w:val="16"/>
        </w:rPr>
        <w:t xml:space="preserve"> for your </w:t>
      </w:r>
      <w:r w:rsidRPr="005612D1">
        <w:rPr>
          <w:sz w:val="16"/>
          <w:szCs w:val="16"/>
        </w:rPr>
        <w:t>instruction</w:t>
      </w:r>
      <w:r w:rsidR="00C54D02">
        <w:rPr>
          <w:sz w:val="16"/>
          <w:szCs w:val="16"/>
        </w:rPr>
        <w:t>s</w:t>
      </w:r>
      <w:r w:rsidRPr="005612D1">
        <w:rPr>
          <w:sz w:val="16"/>
          <w:szCs w:val="16"/>
        </w:rPr>
        <w:t xml:space="preserve"> on how to proceed.</w:t>
      </w:r>
      <w:r w:rsidR="00C54D02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The Customer’s </w:t>
      </w:r>
      <w:r w:rsidR="00C54D02">
        <w:rPr>
          <w:sz w:val="16"/>
          <w:szCs w:val="16"/>
        </w:rPr>
        <w:t xml:space="preserve">business </w:t>
      </w:r>
      <w:r w:rsidRPr="005612D1">
        <w:rPr>
          <w:sz w:val="16"/>
          <w:szCs w:val="16"/>
        </w:rPr>
        <w:t>name, address, contact number(s) and</w:t>
      </w:r>
      <w:r w:rsidR="00C54D02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person(s) to contact must be clearly legible either in the</w:t>
      </w:r>
      <w:r w:rsidR="00C54D02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Work</w:t>
      </w:r>
      <w:r w:rsidR="00C54D02">
        <w:rPr>
          <w:sz w:val="16"/>
          <w:szCs w:val="16"/>
        </w:rPr>
        <w:t xml:space="preserve"> Order, </w:t>
      </w:r>
      <w:r w:rsidRPr="005612D1">
        <w:rPr>
          <w:sz w:val="16"/>
          <w:szCs w:val="16"/>
        </w:rPr>
        <w:t>Purchase Order or in the shipping document</w:t>
      </w:r>
      <w:r w:rsidR="00705F7F">
        <w:rPr>
          <w:sz w:val="16"/>
          <w:szCs w:val="16"/>
        </w:rPr>
        <w:t>ation</w:t>
      </w:r>
      <w:r w:rsidRPr="005612D1">
        <w:rPr>
          <w:sz w:val="16"/>
          <w:szCs w:val="16"/>
        </w:rPr>
        <w:t>.</w:t>
      </w:r>
      <w:r w:rsidR="00E57FEA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Always clearly indicate the contents and </w:t>
      </w:r>
      <w:r w:rsidR="00705F7F">
        <w:rPr>
          <w:sz w:val="16"/>
          <w:szCs w:val="16"/>
        </w:rPr>
        <w:t>number</w:t>
      </w:r>
      <w:r w:rsidRPr="005612D1">
        <w:rPr>
          <w:sz w:val="16"/>
          <w:szCs w:val="16"/>
        </w:rPr>
        <w:t xml:space="preserve"> of instruments</w:t>
      </w:r>
      <w:r w:rsidR="00E57FEA">
        <w:rPr>
          <w:sz w:val="16"/>
          <w:szCs w:val="16"/>
        </w:rPr>
        <w:t xml:space="preserve"> (or </w:t>
      </w:r>
      <w:r w:rsidR="00E57FEA" w:rsidRPr="005612D1">
        <w:rPr>
          <w:sz w:val="16"/>
          <w:szCs w:val="16"/>
        </w:rPr>
        <w:t>materials</w:t>
      </w:r>
      <w:r w:rsidRPr="005612D1">
        <w:rPr>
          <w:sz w:val="16"/>
          <w:szCs w:val="16"/>
        </w:rPr>
        <w:t>) in each shipment.</w:t>
      </w:r>
      <w:r w:rsidR="00705F7F">
        <w:rPr>
          <w:sz w:val="16"/>
          <w:szCs w:val="16"/>
        </w:rPr>
        <w:t xml:space="preserve"> </w:t>
      </w:r>
      <w:r w:rsidR="00705F7F" w:rsidRPr="005612D1">
        <w:rPr>
          <w:sz w:val="16"/>
          <w:szCs w:val="16"/>
        </w:rPr>
        <w:t>Shipments with</w:t>
      </w:r>
      <w:r w:rsidR="00705F7F">
        <w:rPr>
          <w:sz w:val="16"/>
          <w:szCs w:val="16"/>
        </w:rPr>
        <w:t xml:space="preserve"> </w:t>
      </w:r>
      <w:r w:rsidR="00705F7F" w:rsidRPr="005612D1">
        <w:rPr>
          <w:sz w:val="16"/>
          <w:szCs w:val="16"/>
        </w:rPr>
        <w:t xml:space="preserve">inadequate information </w:t>
      </w:r>
      <w:r w:rsidR="00705F7F">
        <w:rPr>
          <w:sz w:val="16"/>
          <w:szCs w:val="16"/>
        </w:rPr>
        <w:t>may</w:t>
      </w:r>
      <w:r w:rsidR="00705F7F" w:rsidRPr="005612D1">
        <w:rPr>
          <w:sz w:val="16"/>
          <w:szCs w:val="16"/>
        </w:rPr>
        <w:t xml:space="preserve"> be delayed</w:t>
      </w:r>
      <w:r w:rsidR="00705F7F">
        <w:rPr>
          <w:sz w:val="16"/>
          <w:szCs w:val="16"/>
        </w:rPr>
        <w:t>.</w:t>
      </w:r>
    </w:p>
    <w:p w:rsidR="006964F7" w:rsidRPr="005612D1" w:rsidRDefault="006964F7" w:rsidP="001F689A">
      <w:pPr>
        <w:pStyle w:val="ListParagraph"/>
        <w:numPr>
          <w:ilvl w:val="0"/>
          <w:numId w:val="1"/>
        </w:numPr>
        <w:spacing w:before="100"/>
        <w:ind w:left="357" w:hanging="357"/>
        <w:contextualSpacing w:val="0"/>
        <w:rPr>
          <w:sz w:val="16"/>
          <w:szCs w:val="16"/>
        </w:rPr>
      </w:pPr>
      <w:r w:rsidRPr="005612D1">
        <w:rPr>
          <w:sz w:val="16"/>
          <w:szCs w:val="16"/>
        </w:rPr>
        <w:t>HAZARDOUS MATERIALS:</w:t>
      </w:r>
      <w:r w:rsidR="00383A93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Instruments that have been exposed to hazardous materials must be</w:t>
      </w:r>
      <w:r w:rsidR="00383A93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thoroughly cleaned prior to shipping to </w:t>
      </w:r>
      <w:r w:rsidR="00383A93">
        <w:rPr>
          <w:sz w:val="16"/>
          <w:szCs w:val="16"/>
        </w:rPr>
        <w:t>RadPro</w:t>
      </w:r>
      <w:r w:rsidRPr="005612D1">
        <w:rPr>
          <w:sz w:val="16"/>
          <w:szCs w:val="16"/>
        </w:rPr>
        <w:t>. MSDS sheets are</w:t>
      </w:r>
      <w:r w:rsidR="00383A93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required for all items </w:t>
      </w:r>
      <w:r w:rsidR="004B33FC">
        <w:rPr>
          <w:sz w:val="16"/>
          <w:szCs w:val="16"/>
        </w:rPr>
        <w:t xml:space="preserve">sent to RadPro </w:t>
      </w:r>
      <w:r w:rsidRPr="005612D1">
        <w:rPr>
          <w:sz w:val="16"/>
          <w:szCs w:val="16"/>
        </w:rPr>
        <w:t>that have come in contact with hazardous</w:t>
      </w:r>
      <w:r w:rsidR="00383A93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materials.</w:t>
      </w:r>
    </w:p>
    <w:p w:rsidR="006964F7" w:rsidRPr="005612D1" w:rsidRDefault="006964F7" w:rsidP="001F689A">
      <w:pPr>
        <w:pStyle w:val="ListParagraph"/>
        <w:numPr>
          <w:ilvl w:val="0"/>
          <w:numId w:val="1"/>
        </w:numPr>
        <w:spacing w:before="100"/>
        <w:ind w:left="357" w:hanging="357"/>
        <w:contextualSpacing w:val="0"/>
        <w:rPr>
          <w:sz w:val="16"/>
          <w:szCs w:val="16"/>
        </w:rPr>
      </w:pPr>
      <w:r w:rsidRPr="005612D1">
        <w:rPr>
          <w:sz w:val="16"/>
          <w:szCs w:val="16"/>
        </w:rPr>
        <w:t>INCOMPLETE ITEMS:</w:t>
      </w:r>
      <w:r w:rsidR="00383A93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Devices that arrive incomplete, have missing parts or need additional</w:t>
      </w:r>
      <w:r w:rsidR="00383A93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components to be </w:t>
      </w:r>
      <w:proofErr w:type="gramStart"/>
      <w:r w:rsidRPr="005612D1">
        <w:rPr>
          <w:sz w:val="16"/>
          <w:szCs w:val="16"/>
        </w:rPr>
        <w:t>functional,</w:t>
      </w:r>
      <w:proofErr w:type="gramEnd"/>
      <w:r w:rsidRPr="005612D1">
        <w:rPr>
          <w:sz w:val="16"/>
          <w:szCs w:val="16"/>
        </w:rPr>
        <w:t xml:space="preserve"> will be delayed or rejected at discretion of</w:t>
      </w:r>
      <w:r w:rsidR="00383A93">
        <w:rPr>
          <w:sz w:val="16"/>
          <w:szCs w:val="16"/>
        </w:rPr>
        <w:t xml:space="preserve"> RadPro</w:t>
      </w:r>
      <w:r w:rsidRPr="005612D1">
        <w:rPr>
          <w:sz w:val="16"/>
          <w:szCs w:val="16"/>
        </w:rPr>
        <w:t>.</w:t>
      </w:r>
    </w:p>
    <w:p w:rsidR="006964F7" w:rsidRPr="005612D1" w:rsidRDefault="006964F7" w:rsidP="001F689A">
      <w:pPr>
        <w:pStyle w:val="ListParagraph"/>
        <w:numPr>
          <w:ilvl w:val="0"/>
          <w:numId w:val="1"/>
        </w:numPr>
        <w:spacing w:before="100"/>
        <w:ind w:left="357" w:hanging="357"/>
        <w:contextualSpacing w:val="0"/>
        <w:rPr>
          <w:sz w:val="16"/>
          <w:szCs w:val="16"/>
        </w:rPr>
      </w:pPr>
      <w:r w:rsidRPr="005612D1">
        <w:rPr>
          <w:sz w:val="16"/>
          <w:szCs w:val="16"/>
        </w:rPr>
        <w:t>POWER SUPPLIES:</w:t>
      </w:r>
      <w:r w:rsidR="00383A93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Always send your power supply with your instrument(s) if they </w:t>
      </w:r>
      <w:r w:rsidR="006D7B5A">
        <w:rPr>
          <w:sz w:val="16"/>
          <w:szCs w:val="16"/>
        </w:rPr>
        <w:t xml:space="preserve">are externally </w:t>
      </w:r>
      <w:r w:rsidRPr="005612D1">
        <w:rPr>
          <w:sz w:val="16"/>
          <w:szCs w:val="16"/>
        </w:rPr>
        <w:t xml:space="preserve">powered </w:t>
      </w:r>
      <w:r w:rsidR="006D7B5A">
        <w:rPr>
          <w:sz w:val="16"/>
          <w:szCs w:val="16"/>
        </w:rPr>
        <w:t>or require external power for an extended period of use</w:t>
      </w:r>
      <w:r w:rsidRPr="005612D1">
        <w:rPr>
          <w:sz w:val="16"/>
          <w:szCs w:val="16"/>
        </w:rPr>
        <w:t xml:space="preserve">. </w:t>
      </w:r>
      <w:r w:rsidR="00383A93">
        <w:rPr>
          <w:sz w:val="16"/>
          <w:szCs w:val="16"/>
        </w:rPr>
        <w:t xml:space="preserve">Although we have low voltage laboratory </w:t>
      </w:r>
      <w:r w:rsidRPr="005612D1">
        <w:rPr>
          <w:sz w:val="16"/>
          <w:szCs w:val="16"/>
        </w:rPr>
        <w:t>power supplies</w:t>
      </w:r>
      <w:r w:rsidR="003A35FE">
        <w:rPr>
          <w:sz w:val="16"/>
          <w:szCs w:val="16"/>
        </w:rPr>
        <w:t xml:space="preserve"> available for use</w:t>
      </w:r>
      <w:r w:rsidRPr="005612D1">
        <w:rPr>
          <w:sz w:val="16"/>
          <w:szCs w:val="16"/>
        </w:rPr>
        <w:t xml:space="preserve">, we cannot </w:t>
      </w:r>
      <w:r w:rsidR="00383A93">
        <w:rPr>
          <w:sz w:val="16"/>
          <w:szCs w:val="16"/>
        </w:rPr>
        <w:t xml:space="preserve">always </w:t>
      </w:r>
      <w:r w:rsidRPr="005612D1">
        <w:rPr>
          <w:sz w:val="16"/>
          <w:szCs w:val="16"/>
        </w:rPr>
        <w:t>match the power</w:t>
      </w:r>
      <w:r w:rsidR="00383A93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requirements of all the different meters in existence today. </w:t>
      </w:r>
      <w:r w:rsidR="00383A93">
        <w:rPr>
          <w:sz w:val="16"/>
          <w:szCs w:val="16"/>
        </w:rPr>
        <w:t>If the meter is powered</w:t>
      </w:r>
      <w:r w:rsidR="003A35FE">
        <w:rPr>
          <w:sz w:val="16"/>
          <w:szCs w:val="16"/>
        </w:rPr>
        <w:t xml:space="preserve"> by batteries, these must have adequate </w:t>
      </w:r>
      <w:r w:rsidR="006D7B5A">
        <w:rPr>
          <w:sz w:val="16"/>
          <w:szCs w:val="16"/>
        </w:rPr>
        <w:t xml:space="preserve">charge </w:t>
      </w:r>
      <w:r w:rsidR="003A35FE">
        <w:rPr>
          <w:sz w:val="16"/>
          <w:szCs w:val="16"/>
        </w:rPr>
        <w:t xml:space="preserve">remaining. RadPro may elect to replace any batteries of a common disposable type should it </w:t>
      </w:r>
      <w:r w:rsidR="006D7B5A">
        <w:rPr>
          <w:sz w:val="16"/>
          <w:szCs w:val="16"/>
        </w:rPr>
        <w:t xml:space="preserve">deem </w:t>
      </w:r>
      <w:r w:rsidR="003A35FE">
        <w:rPr>
          <w:sz w:val="16"/>
          <w:szCs w:val="16"/>
        </w:rPr>
        <w:t xml:space="preserve">this </w:t>
      </w:r>
      <w:r w:rsidR="006D7B5A">
        <w:rPr>
          <w:sz w:val="16"/>
          <w:szCs w:val="16"/>
        </w:rPr>
        <w:t xml:space="preserve">to be </w:t>
      </w:r>
      <w:r w:rsidR="003A35FE">
        <w:rPr>
          <w:sz w:val="16"/>
          <w:szCs w:val="16"/>
        </w:rPr>
        <w:t xml:space="preserve">needed. The cost of </w:t>
      </w:r>
      <w:r w:rsidR="006D7B5A">
        <w:rPr>
          <w:sz w:val="16"/>
          <w:szCs w:val="16"/>
        </w:rPr>
        <w:t xml:space="preserve">any </w:t>
      </w:r>
      <w:r w:rsidR="003A35FE">
        <w:rPr>
          <w:sz w:val="16"/>
          <w:szCs w:val="16"/>
        </w:rPr>
        <w:t xml:space="preserve">replacement batteries </w:t>
      </w:r>
      <w:r w:rsidR="006D7B5A">
        <w:rPr>
          <w:sz w:val="16"/>
          <w:szCs w:val="16"/>
        </w:rPr>
        <w:t xml:space="preserve">fitted </w:t>
      </w:r>
      <w:r w:rsidR="003A35FE">
        <w:rPr>
          <w:sz w:val="16"/>
          <w:szCs w:val="16"/>
        </w:rPr>
        <w:t>will be</w:t>
      </w:r>
      <w:r w:rsidR="006D7B5A">
        <w:rPr>
          <w:sz w:val="16"/>
          <w:szCs w:val="16"/>
        </w:rPr>
        <w:t xml:space="preserve"> billed to </w:t>
      </w:r>
      <w:r w:rsidR="003A35FE">
        <w:rPr>
          <w:sz w:val="16"/>
          <w:szCs w:val="16"/>
        </w:rPr>
        <w:t>the Custome</w:t>
      </w:r>
      <w:r w:rsidR="006D7B5A">
        <w:rPr>
          <w:sz w:val="16"/>
          <w:szCs w:val="16"/>
        </w:rPr>
        <w:t>r.</w:t>
      </w:r>
      <w:r w:rsidR="003A35F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If the meter</w:t>
      </w:r>
      <w:r w:rsidR="00383A93">
        <w:rPr>
          <w:sz w:val="16"/>
          <w:szCs w:val="16"/>
        </w:rPr>
        <w:t xml:space="preserve"> </w:t>
      </w:r>
      <w:r w:rsidR="006D7B5A">
        <w:rPr>
          <w:sz w:val="16"/>
          <w:szCs w:val="16"/>
        </w:rPr>
        <w:t>is powered directly off the mains supply</w:t>
      </w:r>
      <w:r w:rsidRPr="005612D1">
        <w:rPr>
          <w:sz w:val="16"/>
          <w:szCs w:val="16"/>
        </w:rPr>
        <w:t xml:space="preserve"> and it uses a non-standard cable, please </w:t>
      </w:r>
      <w:r w:rsidR="006D7B5A">
        <w:rPr>
          <w:sz w:val="16"/>
          <w:szCs w:val="16"/>
        </w:rPr>
        <w:t xml:space="preserve">remember to send this </w:t>
      </w:r>
      <w:r w:rsidR="003A35FE">
        <w:rPr>
          <w:sz w:val="16"/>
          <w:szCs w:val="16"/>
        </w:rPr>
        <w:t>cable</w:t>
      </w:r>
      <w:r w:rsidRPr="005612D1">
        <w:rPr>
          <w:sz w:val="16"/>
          <w:szCs w:val="16"/>
        </w:rPr>
        <w:t>. Your power supplies &amp; accessories will be tagged</w:t>
      </w:r>
      <w:r w:rsidR="00383A93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with your name and returned to you after work is completed.</w:t>
      </w:r>
      <w:r w:rsidR="00383A93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IF A METER HAS NO POWER SUPPLY AND WE CANNOT MATCH</w:t>
      </w:r>
      <w:r w:rsidR="00383A93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THE POWER </w:t>
      </w:r>
      <w:r w:rsidR="006D7B5A">
        <w:rPr>
          <w:sz w:val="16"/>
          <w:szCs w:val="16"/>
        </w:rPr>
        <w:t xml:space="preserve">SUPPLY </w:t>
      </w:r>
      <w:r w:rsidRPr="005612D1">
        <w:rPr>
          <w:sz w:val="16"/>
          <w:szCs w:val="16"/>
        </w:rPr>
        <w:t>REQUIREMENTS, THE ORDER WILL BE CANCELLED</w:t>
      </w:r>
      <w:r w:rsidR="00383A93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AND SENT BACK AT YOUR EXPENSE.</w:t>
      </w:r>
    </w:p>
    <w:p w:rsidR="006964F7" w:rsidRPr="005612D1" w:rsidRDefault="004332D3" w:rsidP="001F689A">
      <w:pPr>
        <w:pStyle w:val="ListParagraph"/>
        <w:numPr>
          <w:ilvl w:val="0"/>
          <w:numId w:val="1"/>
        </w:numPr>
        <w:spacing w:before="100"/>
        <w:ind w:left="357" w:hanging="357"/>
        <w:contextualSpacing w:val="0"/>
        <w:rPr>
          <w:sz w:val="16"/>
          <w:szCs w:val="16"/>
        </w:rPr>
      </w:pPr>
      <w:r>
        <w:rPr>
          <w:sz w:val="16"/>
          <w:szCs w:val="16"/>
        </w:rPr>
        <w:t xml:space="preserve">CALIBRATION </w:t>
      </w:r>
      <w:r w:rsidR="006964F7" w:rsidRPr="005612D1">
        <w:rPr>
          <w:sz w:val="16"/>
          <w:szCs w:val="16"/>
        </w:rPr>
        <w:t>REQUIREMENTS:</w:t>
      </w:r>
      <w:r w:rsidR="003A35FE">
        <w:rPr>
          <w:sz w:val="16"/>
          <w:szCs w:val="16"/>
        </w:rPr>
        <w:t xml:space="preserve"> Where a Work Order has not been completed, </w:t>
      </w:r>
      <w:r w:rsidR="006964F7" w:rsidRPr="005612D1">
        <w:rPr>
          <w:sz w:val="16"/>
          <w:szCs w:val="16"/>
        </w:rPr>
        <w:t>detailed calibration requirements</w:t>
      </w:r>
      <w:r w:rsidR="003A35F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must be specified </w:t>
      </w:r>
      <w:r w:rsidR="00055560">
        <w:rPr>
          <w:sz w:val="16"/>
          <w:szCs w:val="16"/>
        </w:rPr>
        <w:t xml:space="preserve">on </w:t>
      </w:r>
      <w:r w:rsidR="006964F7" w:rsidRPr="005612D1">
        <w:rPr>
          <w:sz w:val="16"/>
          <w:szCs w:val="16"/>
        </w:rPr>
        <w:t xml:space="preserve">your </w:t>
      </w:r>
      <w:r w:rsidR="00055560">
        <w:rPr>
          <w:sz w:val="16"/>
          <w:szCs w:val="16"/>
        </w:rPr>
        <w:t>Purchase O</w:t>
      </w:r>
      <w:r w:rsidR="006964F7" w:rsidRPr="005612D1">
        <w:rPr>
          <w:sz w:val="16"/>
          <w:szCs w:val="16"/>
        </w:rPr>
        <w:t>rder</w:t>
      </w:r>
      <w:r w:rsidR="00055560">
        <w:rPr>
          <w:sz w:val="16"/>
          <w:szCs w:val="16"/>
        </w:rPr>
        <w:t xml:space="preserve"> or include</w:t>
      </w:r>
      <w:r>
        <w:rPr>
          <w:sz w:val="16"/>
          <w:szCs w:val="16"/>
        </w:rPr>
        <w:t>d</w:t>
      </w:r>
      <w:r w:rsidR="00055560">
        <w:rPr>
          <w:sz w:val="16"/>
          <w:szCs w:val="16"/>
        </w:rPr>
        <w:t xml:space="preserve"> with your instrument</w:t>
      </w:r>
      <w:r w:rsidR="006964F7" w:rsidRPr="005612D1">
        <w:rPr>
          <w:sz w:val="16"/>
          <w:szCs w:val="16"/>
        </w:rPr>
        <w:t>. This includes the type of service</w:t>
      </w:r>
      <w:r w:rsidR="003A35FE">
        <w:rPr>
          <w:sz w:val="16"/>
          <w:szCs w:val="16"/>
        </w:rPr>
        <w:t xml:space="preserve"> </w:t>
      </w:r>
      <w:r w:rsidR="006964F7" w:rsidRPr="005612D1">
        <w:rPr>
          <w:sz w:val="16"/>
          <w:szCs w:val="16"/>
        </w:rPr>
        <w:t>req</w:t>
      </w:r>
      <w:r w:rsidR="0063710C">
        <w:rPr>
          <w:sz w:val="16"/>
          <w:szCs w:val="16"/>
        </w:rPr>
        <w:t xml:space="preserve">uired, any </w:t>
      </w:r>
      <w:r w:rsidR="006964F7" w:rsidRPr="005612D1">
        <w:rPr>
          <w:sz w:val="16"/>
          <w:szCs w:val="16"/>
        </w:rPr>
        <w:t>specific data points</w:t>
      </w:r>
      <w:r w:rsidR="00ED5E2E">
        <w:rPr>
          <w:sz w:val="16"/>
          <w:szCs w:val="16"/>
        </w:rPr>
        <w:t xml:space="preserve"> or function checks</w:t>
      </w:r>
      <w:r w:rsidR="004E4C09">
        <w:rPr>
          <w:sz w:val="16"/>
          <w:szCs w:val="16"/>
        </w:rPr>
        <w:t xml:space="preserve"> and</w:t>
      </w:r>
      <w:r w:rsidR="006964F7" w:rsidRPr="005612D1">
        <w:rPr>
          <w:sz w:val="16"/>
          <w:szCs w:val="16"/>
        </w:rPr>
        <w:t xml:space="preserve"> compliance with </w:t>
      </w:r>
      <w:r w:rsidR="001F689A">
        <w:rPr>
          <w:sz w:val="16"/>
          <w:szCs w:val="16"/>
        </w:rPr>
        <w:t xml:space="preserve">any </w:t>
      </w:r>
      <w:r w:rsidR="006964F7" w:rsidRPr="005612D1">
        <w:rPr>
          <w:sz w:val="16"/>
          <w:szCs w:val="16"/>
        </w:rPr>
        <w:t>specific</w:t>
      </w:r>
      <w:r w:rsidR="003A35FE">
        <w:rPr>
          <w:sz w:val="16"/>
          <w:szCs w:val="16"/>
        </w:rPr>
        <w:t xml:space="preserve"> </w:t>
      </w:r>
      <w:r w:rsidR="006964F7" w:rsidRPr="005612D1">
        <w:rPr>
          <w:sz w:val="16"/>
          <w:szCs w:val="16"/>
        </w:rPr>
        <w:t xml:space="preserve">standards </w:t>
      </w:r>
      <w:r w:rsidR="003A35FE">
        <w:rPr>
          <w:sz w:val="16"/>
          <w:szCs w:val="16"/>
        </w:rPr>
        <w:t xml:space="preserve">etc. </w:t>
      </w:r>
      <w:r w:rsidR="0063710C">
        <w:rPr>
          <w:sz w:val="16"/>
          <w:szCs w:val="16"/>
        </w:rPr>
        <w:t>T</w:t>
      </w:r>
      <w:r w:rsidR="006964F7" w:rsidRPr="005612D1">
        <w:rPr>
          <w:sz w:val="16"/>
          <w:szCs w:val="16"/>
        </w:rPr>
        <w:t xml:space="preserve">he Customer is responsible </w:t>
      </w:r>
      <w:r w:rsidR="0063710C">
        <w:rPr>
          <w:sz w:val="16"/>
          <w:szCs w:val="16"/>
        </w:rPr>
        <w:t>for</w:t>
      </w:r>
      <w:r w:rsidR="003A35FE">
        <w:rPr>
          <w:sz w:val="16"/>
          <w:szCs w:val="16"/>
        </w:rPr>
        <w:t xml:space="preserve"> </w:t>
      </w:r>
      <w:r w:rsidR="0063710C">
        <w:rPr>
          <w:sz w:val="16"/>
          <w:szCs w:val="16"/>
        </w:rPr>
        <w:t>ensuring</w:t>
      </w:r>
      <w:r w:rsidR="006964F7" w:rsidRPr="005612D1">
        <w:rPr>
          <w:sz w:val="16"/>
          <w:szCs w:val="16"/>
        </w:rPr>
        <w:t xml:space="preserve"> </w:t>
      </w:r>
      <w:r w:rsidR="0063710C">
        <w:rPr>
          <w:sz w:val="16"/>
          <w:szCs w:val="16"/>
        </w:rPr>
        <w:t>it orders</w:t>
      </w:r>
      <w:r w:rsidR="006964F7" w:rsidRPr="005612D1">
        <w:rPr>
          <w:sz w:val="16"/>
          <w:szCs w:val="16"/>
        </w:rPr>
        <w:t xml:space="preserve"> the required service(s). If you do not supply us with</w:t>
      </w:r>
      <w:r w:rsidR="0063710C">
        <w:rPr>
          <w:sz w:val="16"/>
          <w:szCs w:val="16"/>
        </w:rPr>
        <w:t xml:space="preserve"> </w:t>
      </w:r>
      <w:r w:rsidR="006964F7" w:rsidRPr="005612D1">
        <w:rPr>
          <w:sz w:val="16"/>
          <w:szCs w:val="16"/>
        </w:rPr>
        <w:t>your requirements</w:t>
      </w:r>
      <w:r w:rsidR="001F689A">
        <w:rPr>
          <w:sz w:val="16"/>
          <w:szCs w:val="16"/>
        </w:rPr>
        <w:t>,</w:t>
      </w:r>
      <w:r w:rsidR="006964F7" w:rsidRPr="005612D1">
        <w:rPr>
          <w:sz w:val="16"/>
          <w:szCs w:val="16"/>
        </w:rPr>
        <w:t xml:space="preserve"> </w:t>
      </w:r>
      <w:proofErr w:type="spellStart"/>
      <w:r w:rsidR="0063710C">
        <w:rPr>
          <w:sz w:val="16"/>
          <w:szCs w:val="16"/>
        </w:rPr>
        <w:t>RadPro</w:t>
      </w:r>
      <w:r w:rsidR="006964F7" w:rsidRPr="005612D1">
        <w:rPr>
          <w:sz w:val="16"/>
          <w:szCs w:val="16"/>
        </w:rPr>
        <w:t>’s</w:t>
      </w:r>
      <w:proofErr w:type="spellEnd"/>
      <w:r w:rsidR="006964F7" w:rsidRPr="005612D1">
        <w:rPr>
          <w:sz w:val="16"/>
          <w:szCs w:val="16"/>
        </w:rPr>
        <w:t xml:space="preserve"> default service/procedure will be</w:t>
      </w:r>
      <w:r w:rsidR="0063710C">
        <w:rPr>
          <w:sz w:val="16"/>
          <w:szCs w:val="16"/>
        </w:rPr>
        <w:t xml:space="preserve"> </w:t>
      </w:r>
      <w:r w:rsidR="006964F7" w:rsidRPr="005612D1">
        <w:rPr>
          <w:sz w:val="16"/>
          <w:szCs w:val="16"/>
        </w:rPr>
        <w:t>provided based on</w:t>
      </w:r>
      <w:r w:rsidR="0063710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the </w:t>
      </w:r>
      <w:r w:rsidR="0063710C">
        <w:rPr>
          <w:sz w:val="16"/>
          <w:szCs w:val="16"/>
        </w:rPr>
        <w:t xml:space="preserve">instrument type, </w:t>
      </w:r>
      <w:r w:rsidR="006964F7" w:rsidRPr="005612D1">
        <w:rPr>
          <w:sz w:val="16"/>
          <w:szCs w:val="16"/>
        </w:rPr>
        <w:t>make</w:t>
      </w:r>
      <w:r w:rsidR="0063710C">
        <w:rPr>
          <w:sz w:val="16"/>
          <w:szCs w:val="16"/>
        </w:rPr>
        <w:t xml:space="preserve"> or </w:t>
      </w:r>
      <w:r w:rsidR="006964F7" w:rsidRPr="005612D1">
        <w:rPr>
          <w:sz w:val="16"/>
          <w:szCs w:val="16"/>
        </w:rPr>
        <w:t>model.</w:t>
      </w:r>
    </w:p>
    <w:p w:rsidR="006964F7" w:rsidRPr="005612D1" w:rsidRDefault="006964F7" w:rsidP="001F689A">
      <w:pPr>
        <w:pStyle w:val="ListParagraph"/>
        <w:numPr>
          <w:ilvl w:val="0"/>
          <w:numId w:val="1"/>
        </w:numPr>
        <w:spacing w:before="100"/>
        <w:ind w:left="357" w:hanging="357"/>
        <w:contextualSpacing w:val="0"/>
        <w:rPr>
          <w:sz w:val="16"/>
          <w:szCs w:val="16"/>
        </w:rPr>
      </w:pPr>
      <w:r w:rsidRPr="005612D1">
        <w:rPr>
          <w:sz w:val="16"/>
          <w:szCs w:val="16"/>
        </w:rPr>
        <w:lastRenderedPageBreak/>
        <w:t>CONFIDENTIALITY</w:t>
      </w:r>
      <w:r w:rsidR="004E4C09">
        <w:rPr>
          <w:sz w:val="16"/>
          <w:szCs w:val="16"/>
        </w:rPr>
        <w:t>:</w:t>
      </w:r>
      <w:r w:rsidR="00DC7725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All </w:t>
      </w:r>
      <w:r w:rsidR="004E4C09">
        <w:rPr>
          <w:sz w:val="16"/>
          <w:szCs w:val="16"/>
        </w:rPr>
        <w:t xml:space="preserve">service </w:t>
      </w:r>
      <w:r w:rsidR="002955DC">
        <w:rPr>
          <w:sz w:val="16"/>
          <w:szCs w:val="16"/>
        </w:rPr>
        <w:t xml:space="preserve">requests, </w:t>
      </w:r>
      <w:r w:rsidR="004E4C09">
        <w:rPr>
          <w:sz w:val="16"/>
          <w:szCs w:val="16"/>
        </w:rPr>
        <w:t xml:space="preserve">orders </w:t>
      </w:r>
      <w:r w:rsidRPr="005612D1">
        <w:rPr>
          <w:sz w:val="16"/>
          <w:szCs w:val="16"/>
        </w:rPr>
        <w:t>etc. made by the</w:t>
      </w:r>
      <w:r w:rsidR="00DC7725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Customer to </w:t>
      </w:r>
      <w:r w:rsidR="00DC7725">
        <w:rPr>
          <w:sz w:val="16"/>
          <w:szCs w:val="16"/>
        </w:rPr>
        <w:t>RadPro</w:t>
      </w:r>
      <w:r w:rsidRPr="005612D1">
        <w:rPr>
          <w:sz w:val="16"/>
          <w:szCs w:val="16"/>
        </w:rPr>
        <w:t xml:space="preserve"> are considered proprietary information for the</w:t>
      </w:r>
      <w:r w:rsidR="00DC7725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purposes specified in the Work</w:t>
      </w:r>
      <w:r w:rsidR="004E4C09">
        <w:rPr>
          <w:sz w:val="16"/>
          <w:szCs w:val="16"/>
        </w:rPr>
        <w:t xml:space="preserve"> or </w:t>
      </w:r>
      <w:r w:rsidRPr="005612D1">
        <w:rPr>
          <w:sz w:val="16"/>
          <w:szCs w:val="16"/>
        </w:rPr>
        <w:t>Purchase Order. All information</w:t>
      </w:r>
      <w:r w:rsidR="002955DC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furnished by the Customer to </w:t>
      </w:r>
      <w:r w:rsidR="002955DC">
        <w:rPr>
          <w:sz w:val="16"/>
          <w:szCs w:val="16"/>
        </w:rPr>
        <w:t>RadPro</w:t>
      </w:r>
      <w:r w:rsidRPr="005612D1">
        <w:rPr>
          <w:sz w:val="16"/>
          <w:szCs w:val="16"/>
        </w:rPr>
        <w:t xml:space="preserve"> is considered CONFIDENTIAL.</w:t>
      </w:r>
    </w:p>
    <w:p w:rsidR="006964F7" w:rsidRPr="005612D1" w:rsidRDefault="006964F7" w:rsidP="001F689A">
      <w:pPr>
        <w:pStyle w:val="ListParagraph"/>
        <w:numPr>
          <w:ilvl w:val="0"/>
          <w:numId w:val="1"/>
        </w:numPr>
        <w:spacing w:before="100"/>
        <w:ind w:left="357" w:hanging="357"/>
        <w:contextualSpacing w:val="0"/>
        <w:rPr>
          <w:sz w:val="16"/>
          <w:szCs w:val="16"/>
        </w:rPr>
      </w:pPr>
      <w:r w:rsidRPr="005612D1">
        <w:rPr>
          <w:sz w:val="16"/>
          <w:szCs w:val="16"/>
        </w:rPr>
        <w:t>REPAIRS:</w:t>
      </w:r>
      <w:r w:rsidR="002955DC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We will advise you if </w:t>
      </w:r>
      <w:r w:rsidR="004E4C09">
        <w:rPr>
          <w:sz w:val="16"/>
          <w:szCs w:val="16"/>
        </w:rPr>
        <w:t xml:space="preserve">any </w:t>
      </w:r>
      <w:r w:rsidRPr="005612D1">
        <w:rPr>
          <w:sz w:val="16"/>
          <w:szCs w:val="16"/>
        </w:rPr>
        <w:t xml:space="preserve">instruments are found to </w:t>
      </w:r>
      <w:r w:rsidR="002955DC">
        <w:rPr>
          <w:sz w:val="16"/>
          <w:szCs w:val="16"/>
        </w:rPr>
        <w:t xml:space="preserve">be in </w:t>
      </w:r>
      <w:r w:rsidRPr="005612D1">
        <w:rPr>
          <w:sz w:val="16"/>
          <w:szCs w:val="16"/>
        </w:rPr>
        <w:t xml:space="preserve">need </w:t>
      </w:r>
      <w:r w:rsidR="002955DC">
        <w:rPr>
          <w:sz w:val="16"/>
          <w:szCs w:val="16"/>
        </w:rPr>
        <w:t xml:space="preserve">of </w:t>
      </w:r>
      <w:r w:rsidRPr="005612D1">
        <w:rPr>
          <w:sz w:val="16"/>
          <w:szCs w:val="16"/>
        </w:rPr>
        <w:t>repairs</w:t>
      </w:r>
      <w:r w:rsidR="00605CE4">
        <w:rPr>
          <w:sz w:val="16"/>
          <w:szCs w:val="16"/>
        </w:rPr>
        <w:t xml:space="preserve"> and seek your instructions on how you would like us to proceed</w:t>
      </w:r>
      <w:r w:rsidRPr="005612D1">
        <w:rPr>
          <w:sz w:val="16"/>
          <w:szCs w:val="16"/>
        </w:rPr>
        <w:t xml:space="preserve">. </w:t>
      </w:r>
      <w:r w:rsidR="002955DC">
        <w:rPr>
          <w:sz w:val="16"/>
          <w:szCs w:val="16"/>
        </w:rPr>
        <w:t>The service fees for a</w:t>
      </w:r>
      <w:r w:rsidRPr="005612D1">
        <w:rPr>
          <w:sz w:val="16"/>
          <w:szCs w:val="16"/>
        </w:rPr>
        <w:t>ny repair</w:t>
      </w:r>
      <w:r w:rsidR="002955DC">
        <w:rPr>
          <w:sz w:val="16"/>
          <w:szCs w:val="16"/>
        </w:rPr>
        <w:t xml:space="preserve">s you may wish us to make </w:t>
      </w:r>
      <w:r w:rsidRPr="005612D1">
        <w:rPr>
          <w:sz w:val="16"/>
          <w:szCs w:val="16"/>
        </w:rPr>
        <w:t xml:space="preserve">are </w:t>
      </w:r>
      <w:r w:rsidR="002955DC">
        <w:rPr>
          <w:sz w:val="16"/>
          <w:szCs w:val="16"/>
        </w:rPr>
        <w:t xml:space="preserve">charged </w:t>
      </w:r>
      <w:r w:rsidRPr="005612D1">
        <w:rPr>
          <w:sz w:val="16"/>
          <w:szCs w:val="16"/>
        </w:rPr>
        <w:t>in addition to the calibration fees.</w:t>
      </w:r>
    </w:p>
    <w:p w:rsidR="006964F7" w:rsidRPr="005612D1" w:rsidRDefault="006964F7" w:rsidP="001F689A">
      <w:pPr>
        <w:pStyle w:val="ListParagraph"/>
        <w:numPr>
          <w:ilvl w:val="0"/>
          <w:numId w:val="1"/>
        </w:numPr>
        <w:spacing w:before="100"/>
        <w:ind w:left="357" w:hanging="357"/>
        <w:contextualSpacing w:val="0"/>
        <w:rPr>
          <w:sz w:val="16"/>
          <w:szCs w:val="16"/>
        </w:rPr>
      </w:pPr>
      <w:r w:rsidRPr="005612D1">
        <w:rPr>
          <w:sz w:val="16"/>
          <w:szCs w:val="16"/>
        </w:rPr>
        <w:t>ADJUSTMENTS:</w:t>
      </w:r>
      <w:r w:rsidR="002955DC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If the Customer’s instrument is found to be out</w:t>
      </w:r>
      <w:r w:rsidR="002955DC">
        <w:rPr>
          <w:sz w:val="16"/>
          <w:szCs w:val="16"/>
        </w:rPr>
        <w:t>side</w:t>
      </w:r>
      <w:r w:rsidRPr="005612D1">
        <w:rPr>
          <w:sz w:val="16"/>
          <w:szCs w:val="16"/>
        </w:rPr>
        <w:t xml:space="preserve"> of </w:t>
      </w:r>
      <w:r w:rsidR="002955DC">
        <w:rPr>
          <w:sz w:val="16"/>
          <w:szCs w:val="16"/>
        </w:rPr>
        <w:t xml:space="preserve">manufacturer’s </w:t>
      </w:r>
      <w:r w:rsidRPr="005612D1">
        <w:rPr>
          <w:sz w:val="16"/>
          <w:szCs w:val="16"/>
        </w:rPr>
        <w:t>specifications it will</w:t>
      </w:r>
      <w:r w:rsidR="002955DC">
        <w:rPr>
          <w:sz w:val="16"/>
          <w:szCs w:val="16"/>
        </w:rPr>
        <w:t xml:space="preserve"> not </w:t>
      </w:r>
      <w:r w:rsidRPr="005612D1">
        <w:rPr>
          <w:sz w:val="16"/>
          <w:szCs w:val="16"/>
        </w:rPr>
        <w:t xml:space="preserve">be adjusted </w:t>
      </w:r>
      <w:r w:rsidR="002955DC">
        <w:rPr>
          <w:sz w:val="16"/>
          <w:szCs w:val="16"/>
        </w:rPr>
        <w:t xml:space="preserve">unless this </w:t>
      </w:r>
      <w:r w:rsidR="004E4C09">
        <w:rPr>
          <w:sz w:val="16"/>
          <w:szCs w:val="16"/>
        </w:rPr>
        <w:t xml:space="preserve">adjustment can be made using </w:t>
      </w:r>
      <w:r w:rsidR="002955DC">
        <w:rPr>
          <w:sz w:val="16"/>
          <w:szCs w:val="16"/>
        </w:rPr>
        <w:t>a readily accessible “user” feature of the instrument, for example the “zeroing” of an analogue indicator</w:t>
      </w:r>
      <w:r w:rsidRPr="005612D1">
        <w:rPr>
          <w:sz w:val="16"/>
          <w:szCs w:val="16"/>
        </w:rPr>
        <w:t>.</w:t>
      </w:r>
      <w:r w:rsidR="002955DC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If </w:t>
      </w:r>
      <w:r w:rsidR="004E4C09">
        <w:rPr>
          <w:sz w:val="16"/>
          <w:szCs w:val="16"/>
        </w:rPr>
        <w:t xml:space="preserve">an instrument’s </w:t>
      </w:r>
      <w:r w:rsidR="002955DC">
        <w:rPr>
          <w:sz w:val="16"/>
          <w:szCs w:val="16"/>
        </w:rPr>
        <w:t xml:space="preserve">performance falls outside manufacturer’s specifications or is otherwise outside </w:t>
      </w:r>
      <w:r w:rsidR="004E4C09">
        <w:rPr>
          <w:sz w:val="16"/>
          <w:szCs w:val="16"/>
        </w:rPr>
        <w:t>what is considered to be a</w:t>
      </w:r>
      <w:r w:rsidR="002955DC">
        <w:rPr>
          <w:sz w:val="16"/>
          <w:szCs w:val="16"/>
        </w:rPr>
        <w:t xml:space="preserve"> reasonable tolerance, we will contact you for instructions on how to proceed.</w:t>
      </w:r>
      <w:r w:rsidR="00605CE4">
        <w:rPr>
          <w:sz w:val="16"/>
          <w:szCs w:val="16"/>
        </w:rPr>
        <w:t xml:space="preserve">  </w:t>
      </w:r>
      <w:r w:rsidR="006D7138">
        <w:rPr>
          <w:sz w:val="16"/>
          <w:szCs w:val="16"/>
        </w:rPr>
        <w:t>N</w:t>
      </w:r>
      <w:r w:rsidRPr="005612D1">
        <w:rPr>
          <w:sz w:val="16"/>
          <w:szCs w:val="16"/>
        </w:rPr>
        <w:t xml:space="preserve">otification </w:t>
      </w:r>
      <w:r w:rsidR="00605CE4">
        <w:rPr>
          <w:sz w:val="16"/>
          <w:szCs w:val="16"/>
        </w:rPr>
        <w:t xml:space="preserve">of any observed performance issues </w:t>
      </w:r>
      <w:r w:rsidRPr="005612D1">
        <w:rPr>
          <w:sz w:val="16"/>
          <w:szCs w:val="16"/>
        </w:rPr>
        <w:t>will be</w:t>
      </w:r>
      <w:r w:rsidR="002955DC">
        <w:rPr>
          <w:sz w:val="16"/>
          <w:szCs w:val="16"/>
        </w:rPr>
        <w:t xml:space="preserve"> </w:t>
      </w:r>
      <w:r w:rsidR="006D7138">
        <w:rPr>
          <w:sz w:val="16"/>
          <w:szCs w:val="16"/>
        </w:rPr>
        <w:t>given on</w:t>
      </w:r>
      <w:r w:rsidRPr="005612D1">
        <w:rPr>
          <w:sz w:val="16"/>
          <w:szCs w:val="16"/>
        </w:rPr>
        <w:t xml:space="preserve"> the Calibration</w:t>
      </w:r>
      <w:r w:rsidR="00605CE4">
        <w:rPr>
          <w:sz w:val="16"/>
          <w:szCs w:val="16"/>
        </w:rPr>
        <w:t xml:space="preserve"> Certificate</w:t>
      </w:r>
      <w:r w:rsidRPr="005612D1">
        <w:rPr>
          <w:sz w:val="16"/>
          <w:szCs w:val="16"/>
        </w:rPr>
        <w:t>.</w:t>
      </w:r>
    </w:p>
    <w:p w:rsidR="006964F7" w:rsidRPr="005612D1" w:rsidRDefault="006964F7" w:rsidP="001F689A">
      <w:pPr>
        <w:pStyle w:val="ListParagraph"/>
        <w:numPr>
          <w:ilvl w:val="0"/>
          <w:numId w:val="1"/>
        </w:numPr>
        <w:spacing w:before="100"/>
        <w:ind w:left="357" w:hanging="357"/>
        <w:contextualSpacing w:val="0"/>
        <w:rPr>
          <w:sz w:val="16"/>
          <w:szCs w:val="16"/>
        </w:rPr>
      </w:pPr>
      <w:r w:rsidRPr="005612D1">
        <w:rPr>
          <w:sz w:val="16"/>
          <w:szCs w:val="16"/>
        </w:rPr>
        <w:t>UNITS OF MEASUREMENT:</w:t>
      </w:r>
      <w:r w:rsidR="00605CE4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Unless requested by the Customer, data recorded on the Calibration</w:t>
      </w:r>
      <w:r w:rsidR="00605CE4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Certificate is presented in the most commonly used International Units</w:t>
      </w:r>
      <w:r w:rsidR="00605CE4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of measurement </w:t>
      </w:r>
      <w:r w:rsidR="00EA7DE6">
        <w:rPr>
          <w:sz w:val="16"/>
          <w:szCs w:val="16"/>
        </w:rPr>
        <w:t>that are applicable to the instrument(s)</w:t>
      </w:r>
      <w:r w:rsidRPr="005612D1">
        <w:rPr>
          <w:sz w:val="16"/>
          <w:szCs w:val="16"/>
        </w:rPr>
        <w:t>.</w:t>
      </w:r>
    </w:p>
    <w:p w:rsidR="006964F7" w:rsidRPr="005612D1" w:rsidRDefault="000524B1" w:rsidP="001F689A">
      <w:pPr>
        <w:pStyle w:val="ListParagraph"/>
        <w:numPr>
          <w:ilvl w:val="0"/>
          <w:numId w:val="1"/>
        </w:numPr>
        <w:spacing w:before="100"/>
        <w:ind w:left="357" w:hanging="357"/>
        <w:contextualSpacing w:val="0"/>
        <w:rPr>
          <w:sz w:val="16"/>
          <w:szCs w:val="16"/>
        </w:rPr>
      </w:pPr>
      <w:r>
        <w:rPr>
          <w:sz w:val="16"/>
          <w:szCs w:val="16"/>
        </w:rPr>
        <w:t xml:space="preserve">REPLACEMENT </w:t>
      </w:r>
      <w:r w:rsidR="006964F7" w:rsidRPr="005612D1">
        <w:rPr>
          <w:sz w:val="16"/>
          <w:szCs w:val="16"/>
        </w:rPr>
        <w:t>CALIBRATION CERTIFICATES:</w:t>
      </w:r>
      <w:r w:rsidR="00605CE4">
        <w:rPr>
          <w:sz w:val="16"/>
          <w:szCs w:val="16"/>
        </w:rPr>
        <w:t xml:space="preserve"> </w:t>
      </w:r>
      <w:r w:rsidR="004332D3">
        <w:rPr>
          <w:sz w:val="16"/>
          <w:szCs w:val="16"/>
        </w:rPr>
        <w:t>RadPro</w:t>
      </w:r>
      <w:r w:rsidR="006964F7" w:rsidRPr="005612D1">
        <w:rPr>
          <w:sz w:val="16"/>
          <w:szCs w:val="16"/>
        </w:rPr>
        <w:t xml:space="preserve"> reserves the right to charge for </w:t>
      </w:r>
      <w:r w:rsidR="00ED5E2E">
        <w:rPr>
          <w:sz w:val="16"/>
          <w:szCs w:val="16"/>
        </w:rPr>
        <w:t xml:space="preserve">the issuing of </w:t>
      </w:r>
      <w:r w:rsidR="006964F7" w:rsidRPr="005612D1">
        <w:rPr>
          <w:sz w:val="16"/>
          <w:szCs w:val="16"/>
        </w:rPr>
        <w:t>replacement Calibration</w:t>
      </w:r>
      <w:r w:rsidR="00605CE4">
        <w:rPr>
          <w:sz w:val="16"/>
          <w:szCs w:val="16"/>
        </w:rPr>
        <w:t xml:space="preserve"> </w:t>
      </w:r>
      <w:r w:rsidR="006964F7" w:rsidRPr="005612D1">
        <w:rPr>
          <w:sz w:val="16"/>
          <w:szCs w:val="16"/>
        </w:rPr>
        <w:t>Certificates.</w:t>
      </w:r>
    </w:p>
    <w:p w:rsidR="006964F7" w:rsidRPr="005612D1" w:rsidRDefault="006964F7" w:rsidP="001F689A">
      <w:pPr>
        <w:pStyle w:val="ListParagraph"/>
        <w:numPr>
          <w:ilvl w:val="0"/>
          <w:numId w:val="1"/>
        </w:numPr>
        <w:spacing w:before="100"/>
        <w:ind w:left="357" w:hanging="357"/>
        <w:contextualSpacing w:val="0"/>
        <w:rPr>
          <w:sz w:val="16"/>
          <w:szCs w:val="16"/>
        </w:rPr>
      </w:pPr>
      <w:r w:rsidRPr="005612D1">
        <w:rPr>
          <w:sz w:val="16"/>
          <w:szCs w:val="16"/>
        </w:rPr>
        <w:t>PAYMENTS:</w:t>
      </w:r>
      <w:r w:rsidR="00605CE4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Our payment terms are clearly stated on all our invoices. Our standard</w:t>
      </w:r>
      <w:r w:rsidR="00605CE4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term of payment for approved accounts is</w:t>
      </w:r>
      <w:r w:rsidR="004A5BD7">
        <w:rPr>
          <w:sz w:val="16"/>
          <w:szCs w:val="16"/>
        </w:rPr>
        <w:t xml:space="preserve"> the</w:t>
      </w:r>
      <w:r w:rsidRPr="005612D1">
        <w:rPr>
          <w:sz w:val="16"/>
          <w:szCs w:val="16"/>
        </w:rPr>
        <w:t xml:space="preserve"> </w:t>
      </w:r>
      <w:r w:rsidR="00605CE4">
        <w:rPr>
          <w:sz w:val="16"/>
          <w:szCs w:val="16"/>
        </w:rPr>
        <w:t>20</w:t>
      </w:r>
      <w:r w:rsidR="00605CE4" w:rsidRPr="00605CE4">
        <w:rPr>
          <w:sz w:val="16"/>
          <w:szCs w:val="16"/>
          <w:vertAlign w:val="superscript"/>
        </w:rPr>
        <w:t>th</w:t>
      </w:r>
      <w:r w:rsidR="00605CE4">
        <w:rPr>
          <w:sz w:val="16"/>
          <w:szCs w:val="16"/>
        </w:rPr>
        <w:t xml:space="preserve"> of the month following the date of invoice</w:t>
      </w:r>
      <w:r w:rsidRPr="005612D1">
        <w:rPr>
          <w:sz w:val="16"/>
          <w:szCs w:val="16"/>
        </w:rPr>
        <w:t>. Your</w:t>
      </w:r>
      <w:r w:rsidR="00605CE4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individual terms may be different if established by contract or special</w:t>
      </w:r>
      <w:r w:rsidR="00605CE4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agreement. There must be a mutual agreement between our</w:t>
      </w:r>
      <w:r w:rsidR="00605CE4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organi</w:t>
      </w:r>
      <w:r w:rsidR="00A04CA4">
        <w:rPr>
          <w:sz w:val="16"/>
          <w:szCs w:val="16"/>
        </w:rPr>
        <w:t>s</w:t>
      </w:r>
      <w:r w:rsidRPr="005612D1">
        <w:rPr>
          <w:sz w:val="16"/>
          <w:szCs w:val="16"/>
        </w:rPr>
        <w:t>ations in order for non-standard terms of payment to be</w:t>
      </w:r>
      <w:r w:rsidR="00605CE4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acceptable to us. A</w:t>
      </w:r>
      <w:r w:rsidR="00605CE4">
        <w:rPr>
          <w:sz w:val="16"/>
          <w:szCs w:val="16"/>
        </w:rPr>
        <w:t xml:space="preserve">n interest </w:t>
      </w:r>
      <w:r w:rsidRPr="005612D1">
        <w:rPr>
          <w:sz w:val="16"/>
          <w:szCs w:val="16"/>
        </w:rPr>
        <w:t>charge of</w:t>
      </w:r>
      <w:r w:rsidR="00605CE4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1.5% per month may be charged to your account for all </w:t>
      </w:r>
      <w:r w:rsidR="00605CE4">
        <w:rPr>
          <w:sz w:val="16"/>
          <w:szCs w:val="16"/>
        </w:rPr>
        <w:t>overdue a</w:t>
      </w:r>
      <w:r w:rsidRPr="005612D1">
        <w:rPr>
          <w:sz w:val="16"/>
          <w:szCs w:val="16"/>
        </w:rPr>
        <w:t>mounts. This is equal to an annual interest rate of 18% per year.</w:t>
      </w:r>
    </w:p>
    <w:p w:rsidR="006964F7" w:rsidRPr="005612D1" w:rsidRDefault="006964F7" w:rsidP="001F689A">
      <w:pPr>
        <w:pStyle w:val="ListParagraph"/>
        <w:numPr>
          <w:ilvl w:val="0"/>
          <w:numId w:val="1"/>
        </w:numPr>
        <w:spacing w:before="100"/>
        <w:ind w:left="357" w:hanging="357"/>
        <w:contextualSpacing w:val="0"/>
        <w:rPr>
          <w:sz w:val="16"/>
          <w:szCs w:val="16"/>
        </w:rPr>
      </w:pPr>
      <w:r w:rsidRPr="005612D1">
        <w:rPr>
          <w:sz w:val="16"/>
          <w:szCs w:val="16"/>
        </w:rPr>
        <w:t>GUARANTEE:</w:t>
      </w:r>
      <w:r w:rsidR="00605CE4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All services are guaranteed only to the extent of the service performed</w:t>
      </w:r>
      <w:r w:rsidR="00605CE4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or </w:t>
      </w:r>
      <w:r w:rsidR="00605CE4">
        <w:rPr>
          <w:sz w:val="16"/>
          <w:szCs w:val="16"/>
        </w:rPr>
        <w:t xml:space="preserve">the </w:t>
      </w:r>
      <w:r w:rsidRPr="005612D1">
        <w:rPr>
          <w:sz w:val="16"/>
          <w:szCs w:val="16"/>
        </w:rPr>
        <w:t>manufacturer’s warranty</w:t>
      </w:r>
      <w:r w:rsidR="00605CE4">
        <w:rPr>
          <w:sz w:val="16"/>
          <w:szCs w:val="16"/>
        </w:rPr>
        <w:t xml:space="preserve"> (</w:t>
      </w:r>
      <w:r w:rsidR="00A04CA4">
        <w:rPr>
          <w:sz w:val="16"/>
          <w:szCs w:val="16"/>
        </w:rPr>
        <w:t>in the case where</w:t>
      </w:r>
      <w:r w:rsidR="00605CE4">
        <w:rPr>
          <w:sz w:val="16"/>
          <w:szCs w:val="16"/>
        </w:rPr>
        <w:t xml:space="preserve"> RadPro is providing that warranty support)</w:t>
      </w:r>
      <w:r w:rsidRPr="005612D1">
        <w:rPr>
          <w:sz w:val="16"/>
          <w:szCs w:val="16"/>
        </w:rPr>
        <w:t xml:space="preserve">. </w:t>
      </w:r>
      <w:r w:rsidR="00605CE4">
        <w:rPr>
          <w:sz w:val="16"/>
          <w:szCs w:val="16"/>
        </w:rPr>
        <w:t xml:space="preserve">RadPro </w:t>
      </w:r>
      <w:r w:rsidRPr="005612D1">
        <w:rPr>
          <w:sz w:val="16"/>
          <w:szCs w:val="16"/>
        </w:rPr>
        <w:t>is not responsible for lost or missing</w:t>
      </w:r>
      <w:r w:rsidR="00605CE4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 xml:space="preserve">items not identified on the </w:t>
      </w:r>
      <w:r w:rsidR="00605CE4">
        <w:rPr>
          <w:sz w:val="16"/>
          <w:szCs w:val="16"/>
        </w:rPr>
        <w:t>Wor</w:t>
      </w:r>
      <w:r w:rsidR="00A04CA4">
        <w:rPr>
          <w:sz w:val="16"/>
          <w:szCs w:val="16"/>
        </w:rPr>
        <w:t>k</w:t>
      </w:r>
      <w:r w:rsidR="00F63C9E">
        <w:rPr>
          <w:sz w:val="16"/>
          <w:szCs w:val="16"/>
        </w:rPr>
        <w:t xml:space="preserve"> Order, </w:t>
      </w:r>
      <w:r w:rsidR="00605CE4">
        <w:rPr>
          <w:sz w:val="16"/>
          <w:szCs w:val="16"/>
        </w:rPr>
        <w:t xml:space="preserve">the </w:t>
      </w:r>
      <w:r w:rsidRPr="005612D1">
        <w:rPr>
          <w:sz w:val="16"/>
          <w:szCs w:val="16"/>
        </w:rPr>
        <w:t>Customer’s Purchase Order</w:t>
      </w:r>
      <w:r w:rsidR="00F63C9E">
        <w:rPr>
          <w:sz w:val="16"/>
          <w:szCs w:val="16"/>
        </w:rPr>
        <w:t xml:space="preserve"> or packing slip</w:t>
      </w:r>
      <w:r w:rsidRPr="005612D1">
        <w:rPr>
          <w:sz w:val="16"/>
          <w:szCs w:val="16"/>
        </w:rPr>
        <w:t xml:space="preserve">. </w:t>
      </w:r>
      <w:r w:rsidR="00605CE4">
        <w:rPr>
          <w:sz w:val="16"/>
          <w:szCs w:val="16"/>
        </w:rPr>
        <w:t xml:space="preserve">RadPro </w:t>
      </w:r>
      <w:r w:rsidRPr="005612D1">
        <w:rPr>
          <w:sz w:val="16"/>
          <w:szCs w:val="16"/>
        </w:rPr>
        <w:t>is not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responsible for instruments left in our facility for over 90 days. No other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warrantees are expressed or impl</w:t>
      </w:r>
      <w:r w:rsidR="00F37C5E">
        <w:rPr>
          <w:sz w:val="16"/>
          <w:szCs w:val="16"/>
        </w:rPr>
        <w:t>ied. Contact RadPro</w:t>
      </w:r>
      <w:r w:rsidRPr="005612D1">
        <w:rPr>
          <w:sz w:val="16"/>
          <w:szCs w:val="16"/>
        </w:rPr>
        <w:t xml:space="preserve"> for instruction</w:t>
      </w:r>
      <w:r w:rsidR="00E34EDE">
        <w:rPr>
          <w:sz w:val="16"/>
          <w:szCs w:val="16"/>
        </w:rPr>
        <w:t>s</w:t>
      </w:r>
      <w:r w:rsidRPr="005612D1">
        <w:rPr>
          <w:sz w:val="16"/>
          <w:szCs w:val="16"/>
        </w:rPr>
        <w:t xml:space="preserve"> on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how to proceed if requesting warranty service or to register a formal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complaint.</w:t>
      </w:r>
    </w:p>
    <w:p w:rsidR="006964F7" w:rsidRPr="005612D1" w:rsidRDefault="006964F7" w:rsidP="001F689A">
      <w:pPr>
        <w:pStyle w:val="ListParagraph"/>
        <w:numPr>
          <w:ilvl w:val="0"/>
          <w:numId w:val="1"/>
        </w:numPr>
        <w:spacing w:before="100"/>
        <w:contextualSpacing w:val="0"/>
        <w:rPr>
          <w:sz w:val="16"/>
          <w:szCs w:val="16"/>
        </w:rPr>
      </w:pPr>
      <w:r w:rsidRPr="005612D1">
        <w:rPr>
          <w:sz w:val="16"/>
          <w:szCs w:val="16"/>
        </w:rPr>
        <w:t>INDEMNITY AGAINST CLAIMS</w:t>
      </w:r>
      <w:r w:rsidR="00F37C5E">
        <w:rPr>
          <w:sz w:val="16"/>
          <w:szCs w:val="16"/>
        </w:rPr>
        <w:t xml:space="preserve">: </w:t>
      </w:r>
      <w:r w:rsidRPr="005612D1">
        <w:rPr>
          <w:sz w:val="16"/>
          <w:szCs w:val="16"/>
        </w:rPr>
        <w:t>The Customer agrees to protect, indemnify, defend and hold harmless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the Company, its directors, officers, employees and agents from and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against any losses, personal injury (including death) or property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damage-claim, suit, action, expense, loss or damage whatsoever,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including but not limited to claim</w:t>
      </w:r>
      <w:r w:rsidR="00F37C5E">
        <w:rPr>
          <w:sz w:val="16"/>
          <w:szCs w:val="16"/>
        </w:rPr>
        <w:t xml:space="preserve">s, (including </w:t>
      </w:r>
      <w:r w:rsidR="003858BD" w:rsidRPr="003858BD">
        <w:rPr>
          <w:sz w:val="16"/>
          <w:szCs w:val="16"/>
        </w:rPr>
        <w:t xml:space="preserve">exemplary </w:t>
      </w:r>
      <w:r w:rsidR="00F37C5E">
        <w:rPr>
          <w:sz w:val="16"/>
          <w:szCs w:val="16"/>
        </w:rPr>
        <w:t xml:space="preserve">damages), </w:t>
      </w:r>
      <w:r w:rsidRPr="005612D1">
        <w:rPr>
          <w:sz w:val="16"/>
          <w:szCs w:val="16"/>
        </w:rPr>
        <w:t xml:space="preserve">demands, suits, and other liabilities, together with </w:t>
      </w:r>
      <w:r w:rsidR="00F37C5E">
        <w:rPr>
          <w:sz w:val="16"/>
          <w:szCs w:val="16"/>
        </w:rPr>
        <w:t>solicitors</w:t>
      </w:r>
      <w:r w:rsidR="00F37C5E" w:rsidRPr="005612D1">
        <w:rPr>
          <w:sz w:val="16"/>
          <w:szCs w:val="16"/>
        </w:rPr>
        <w:t>’</w:t>
      </w:r>
      <w:r w:rsidRPr="005612D1">
        <w:rPr>
          <w:sz w:val="16"/>
          <w:szCs w:val="16"/>
        </w:rPr>
        <w:t xml:space="preserve"> fees, and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other expenses of litigation or defen</w:t>
      </w:r>
      <w:r w:rsidR="00F37C5E">
        <w:rPr>
          <w:sz w:val="16"/>
          <w:szCs w:val="16"/>
        </w:rPr>
        <w:t>c</w:t>
      </w:r>
      <w:r w:rsidRPr="005612D1">
        <w:rPr>
          <w:sz w:val="16"/>
          <w:szCs w:val="16"/>
        </w:rPr>
        <w:t>e which occur, either directly or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indirectly, because of: damages to all property including loss of use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and downtime: inadvertent misrepresentation; contamination of or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adverse effects on the environment, including but not limited to the cost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of assessment, remediation and all other related activities, which occur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in connection with performance of the work contemplated hereunder,</w:t>
      </w:r>
      <w:r w:rsidR="00F37C5E">
        <w:rPr>
          <w:sz w:val="16"/>
          <w:szCs w:val="16"/>
        </w:rPr>
        <w:t xml:space="preserve"> </w:t>
      </w:r>
      <w:r w:rsidRPr="005612D1">
        <w:rPr>
          <w:sz w:val="16"/>
          <w:szCs w:val="16"/>
        </w:rPr>
        <w:t>regardless of the Company’s fault or negligence.</w:t>
      </w:r>
    </w:p>
    <w:sectPr w:rsidR="006964F7" w:rsidRPr="005612D1" w:rsidSect="006964F7">
      <w:headerReference w:type="default" r:id="rId11"/>
      <w:pgSz w:w="11906" w:h="16838" w:code="9"/>
      <w:pgMar w:top="1440" w:right="1440" w:bottom="1440" w:left="144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34" w:rsidRDefault="004D2134" w:rsidP="009B50C7">
      <w:r>
        <w:separator/>
      </w:r>
    </w:p>
  </w:endnote>
  <w:endnote w:type="continuationSeparator" w:id="0">
    <w:p w:rsidR="004D2134" w:rsidRDefault="004D2134" w:rsidP="009B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50" w:rsidRDefault="00256B75" w:rsidP="00E748B5">
    <w:pPr>
      <w:pStyle w:val="Footer"/>
      <w:pBdr>
        <w:top w:val="single" w:sz="4" w:space="1" w:color="auto"/>
      </w:pBdr>
      <w:tabs>
        <w:tab w:val="clear" w:pos="9026"/>
        <w:tab w:val="right" w:pos="9027"/>
      </w:tabs>
    </w:pPr>
    <w:proofErr w:type="gramStart"/>
    <w:r>
      <w:t>e</w:t>
    </w:r>
    <w:proofErr w:type="gramEnd"/>
    <w:r>
      <w:t>: calibrations</w:t>
    </w:r>
    <w:r w:rsidR="00A67150">
      <w:t>@radpro.co.nz</w:t>
    </w:r>
    <w:r w:rsidR="00A67150">
      <w:tab/>
    </w:r>
    <w:r>
      <w:t xml:space="preserve">w: </w:t>
    </w:r>
    <w:r w:rsidR="00A67150">
      <w:t>http://www.radpro.co.nz</w:t>
    </w:r>
    <w:r w:rsidR="00A67150">
      <w:tab/>
    </w:r>
    <w:r>
      <w:t>f: 03-741-1585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34" w:rsidRDefault="004D2134" w:rsidP="009B50C7">
      <w:r>
        <w:separator/>
      </w:r>
    </w:p>
  </w:footnote>
  <w:footnote w:type="continuationSeparator" w:id="0">
    <w:p w:rsidR="004D2134" w:rsidRDefault="004D2134" w:rsidP="009B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50" w:rsidRPr="00275603" w:rsidRDefault="00A67150" w:rsidP="00E748B5">
    <w:pPr>
      <w:pStyle w:val="Header"/>
      <w:tabs>
        <w:tab w:val="clear" w:pos="4513"/>
        <w:tab w:val="clear" w:pos="9026"/>
        <w:tab w:val="right" w:pos="9027"/>
      </w:tabs>
      <w:rPr>
        <w:sz w:val="40"/>
      </w:rPr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3044AA9E" wp14:editId="55523CA6">
          <wp:simplePos x="0" y="0"/>
          <wp:positionH relativeFrom="column">
            <wp:posOffset>0</wp:posOffset>
          </wp:positionH>
          <wp:positionV relativeFrom="paragraph">
            <wp:posOffset>3644</wp:posOffset>
          </wp:positionV>
          <wp:extent cx="880874" cy="341377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P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874" cy="341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603">
      <w:rPr>
        <w:sz w:val="32"/>
      </w:rPr>
      <w:tab/>
    </w:r>
    <w:r w:rsidR="006964F7">
      <w:rPr>
        <w:b/>
        <w:sz w:val="40"/>
      </w:rPr>
      <w:t>WORK ORDER AGREEMENT (CALIBRATION</w:t>
    </w:r>
    <w:r w:rsidR="00256B75">
      <w:rPr>
        <w:b/>
        <w:sz w:val="40"/>
      </w:rPr>
      <w:t>S</w:t>
    </w:r>
    <w:r w:rsidR="006964F7">
      <w:rPr>
        <w:b/>
        <w:sz w:val="40"/>
      </w:rPr>
      <w:t>)</w:t>
    </w:r>
  </w:p>
  <w:p w:rsidR="00A67150" w:rsidRDefault="00A67150" w:rsidP="00AF1B58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F7" w:rsidRPr="00275603" w:rsidRDefault="006964F7" w:rsidP="00E748B5">
    <w:pPr>
      <w:pStyle w:val="Header"/>
      <w:tabs>
        <w:tab w:val="clear" w:pos="4513"/>
        <w:tab w:val="clear" w:pos="9026"/>
        <w:tab w:val="right" w:pos="9027"/>
      </w:tabs>
      <w:rPr>
        <w:sz w:val="40"/>
      </w:rPr>
    </w:pP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149EF4B4" wp14:editId="311E633A">
          <wp:simplePos x="0" y="0"/>
          <wp:positionH relativeFrom="column">
            <wp:posOffset>0</wp:posOffset>
          </wp:positionH>
          <wp:positionV relativeFrom="paragraph">
            <wp:posOffset>3644</wp:posOffset>
          </wp:positionV>
          <wp:extent cx="880874" cy="341377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P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874" cy="341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603">
      <w:rPr>
        <w:sz w:val="32"/>
      </w:rPr>
      <w:tab/>
    </w:r>
    <w:r>
      <w:rPr>
        <w:b/>
        <w:sz w:val="40"/>
      </w:rPr>
      <w:t>TERMS AND CONDITIONS (CALIBRATIONS)</w:t>
    </w:r>
  </w:p>
  <w:p w:rsidR="006964F7" w:rsidRDefault="006964F7" w:rsidP="00AF1B5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50262"/>
    <w:multiLevelType w:val="hybridMultilevel"/>
    <w:tmpl w:val="2200DB3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Type" w:val="1"/>
    <w:docVar w:name="InVariableDesignMode" w:val="False"/>
    <w:docVar w:name="NaggedForLocation" w:val="False"/>
    <w:docVar w:name="WWS_DATVariableData" w:val="0200010810071041936.4838888889071041936.48388888890310"/>
  </w:docVars>
  <w:rsids>
    <w:rsidRoot w:val="004D2134"/>
    <w:rsid w:val="00030576"/>
    <w:rsid w:val="00043EBE"/>
    <w:rsid w:val="000524B1"/>
    <w:rsid w:val="00055560"/>
    <w:rsid w:val="00084698"/>
    <w:rsid w:val="000910C1"/>
    <w:rsid w:val="000B3125"/>
    <w:rsid w:val="000D57D6"/>
    <w:rsid w:val="000E6BD5"/>
    <w:rsid w:val="00113BBE"/>
    <w:rsid w:val="001313EB"/>
    <w:rsid w:val="001417D9"/>
    <w:rsid w:val="0018152B"/>
    <w:rsid w:val="00187E6C"/>
    <w:rsid w:val="001A3692"/>
    <w:rsid w:val="001B5D06"/>
    <w:rsid w:val="001C50A5"/>
    <w:rsid w:val="001D144D"/>
    <w:rsid w:val="001D76D0"/>
    <w:rsid w:val="001F689A"/>
    <w:rsid w:val="002072BC"/>
    <w:rsid w:val="00227ABE"/>
    <w:rsid w:val="00256B75"/>
    <w:rsid w:val="00275603"/>
    <w:rsid w:val="002955DC"/>
    <w:rsid w:val="002A49CF"/>
    <w:rsid w:val="002D6E27"/>
    <w:rsid w:val="002F1990"/>
    <w:rsid w:val="002F1E9E"/>
    <w:rsid w:val="00312301"/>
    <w:rsid w:val="00356C51"/>
    <w:rsid w:val="00362E50"/>
    <w:rsid w:val="00366C7E"/>
    <w:rsid w:val="003750B7"/>
    <w:rsid w:val="00383A93"/>
    <w:rsid w:val="003858BD"/>
    <w:rsid w:val="0039433A"/>
    <w:rsid w:val="003A35FE"/>
    <w:rsid w:val="003A3B60"/>
    <w:rsid w:val="003A6F3B"/>
    <w:rsid w:val="003B338A"/>
    <w:rsid w:val="003C592C"/>
    <w:rsid w:val="003F3B22"/>
    <w:rsid w:val="00414785"/>
    <w:rsid w:val="004332D3"/>
    <w:rsid w:val="00435C6D"/>
    <w:rsid w:val="004546A3"/>
    <w:rsid w:val="00483948"/>
    <w:rsid w:val="00484ADA"/>
    <w:rsid w:val="004958FC"/>
    <w:rsid w:val="004970C7"/>
    <w:rsid w:val="004A5BD7"/>
    <w:rsid w:val="004B33FC"/>
    <w:rsid w:val="004B5051"/>
    <w:rsid w:val="004D2134"/>
    <w:rsid w:val="004D41D7"/>
    <w:rsid w:val="004E4C09"/>
    <w:rsid w:val="00532C33"/>
    <w:rsid w:val="005612D1"/>
    <w:rsid w:val="005634B6"/>
    <w:rsid w:val="00565443"/>
    <w:rsid w:val="0058419B"/>
    <w:rsid w:val="00585B62"/>
    <w:rsid w:val="005B124F"/>
    <w:rsid w:val="005C5E62"/>
    <w:rsid w:val="005D7D78"/>
    <w:rsid w:val="005F18CB"/>
    <w:rsid w:val="005F6B4B"/>
    <w:rsid w:val="00605CE4"/>
    <w:rsid w:val="00621026"/>
    <w:rsid w:val="00634940"/>
    <w:rsid w:val="0063548B"/>
    <w:rsid w:val="0063710C"/>
    <w:rsid w:val="00654346"/>
    <w:rsid w:val="00662D10"/>
    <w:rsid w:val="00673FB3"/>
    <w:rsid w:val="006964AD"/>
    <w:rsid w:val="006964F7"/>
    <w:rsid w:val="006A6011"/>
    <w:rsid w:val="006D7138"/>
    <w:rsid w:val="006D7B5A"/>
    <w:rsid w:val="006F4BD9"/>
    <w:rsid w:val="00705F7F"/>
    <w:rsid w:val="00727E0F"/>
    <w:rsid w:val="007440DE"/>
    <w:rsid w:val="00791307"/>
    <w:rsid w:val="00791F41"/>
    <w:rsid w:val="007C6F81"/>
    <w:rsid w:val="007D1CBB"/>
    <w:rsid w:val="007E1323"/>
    <w:rsid w:val="0081087A"/>
    <w:rsid w:val="008205E8"/>
    <w:rsid w:val="00820CDD"/>
    <w:rsid w:val="00821C04"/>
    <w:rsid w:val="008236EF"/>
    <w:rsid w:val="00873F73"/>
    <w:rsid w:val="00875A59"/>
    <w:rsid w:val="008F6414"/>
    <w:rsid w:val="009057CF"/>
    <w:rsid w:val="00911CEC"/>
    <w:rsid w:val="009222AF"/>
    <w:rsid w:val="00924235"/>
    <w:rsid w:val="00926117"/>
    <w:rsid w:val="00927EEB"/>
    <w:rsid w:val="009703D0"/>
    <w:rsid w:val="009817DC"/>
    <w:rsid w:val="009930FB"/>
    <w:rsid w:val="00995DEA"/>
    <w:rsid w:val="009B50C7"/>
    <w:rsid w:val="009B60F4"/>
    <w:rsid w:val="009B6B67"/>
    <w:rsid w:val="009C35C7"/>
    <w:rsid w:val="009D590D"/>
    <w:rsid w:val="009D7D11"/>
    <w:rsid w:val="00A04CA4"/>
    <w:rsid w:val="00A065B8"/>
    <w:rsid w:val="00A11A66"/>
    <w:rsid w:val="00A37E0A"/>
    <w:rsid w:val="00A45967"/>
    <w:rsid w:val="00A543B6"/>
    <w:rsid w:val="00A66F99"/>
    <w:rsid w:val="00A67150"/>
    <w:rsid w:val="00A967C1"/>
    <w:rsid w:val="00AD175B"/>
    <w:rsid w:val="00AF1B58"/>
    <w:rsid w:val="00B0662B"/>
    <w:rsid w:val="00B06B06"/>
    <w:rsid w:val="00B102E0"/>
    <w:rsid w:val="00B119CC"/>
    <w:rsid w:val="00B334EA"/>
    <w:rsid w:val="00B36B31"/>
    <w:rsid w:val="00B62810"/>
    <w:rsid w:val="00B7478F"/>
    <w:rsid w:val="00B84DA3"/>
    <w:rsid w:val="00B92BE8"/>
    <w:rsid w:val="00BC7C92"/>
    <w:rsid w:val="00BD3BB0"/>
    <w:rsid w:val="00C025ED"/>
    <w:rsid w:val="00C31A6F"/>
    <w:rsid w:val="00C54D02"/>
    <w:rsid w:val="00C66E62"/>
    <w:rsid w:val="00C96B30"/>
    <w:rsid w:val="00CA2C1C"/>
    <w:rsid w:val="00CA4244"/>
    <w:rsid w:val="00CC4066"/>
    <w:rsid w:val="00CC566D"/>
    <w:rsid w:val="00CC7C66"/>
    <w:rsid w:val="00CE35D4"/>
    <w:rsid w:val="00D25C30"/>
    <w:rsid w:val="00D54994"/>
    <w:rsid w:val="00D763A2"/>
    <w:rsid w:val="00D84121"/>
    <w:rsid w:val="00D958FA"/>
    <w:rsid w:val="00DA2C89"/>
    <w:rsid w:val="00DA3BDD"/>
    <w:rsid w:val="00DC7725"/>
    <w:rsid w:val="00DF17D8"/>
    <w:rsid w:val="00DF53B3"/>
    <w:rsid w:val="00E0016B"/>
    <w:rsid w:val="00E15AB4"/>
    <w:rsid w:val="00E34EDE"/>
    <w:rsid w:val="00E436D5"/>
    <w:rsid w:val="00E57FEA"/>
    <w:rsid w:val="00E611F8"/>
    <w:rsid w:val="00E748B5"/>
    <w:rsid w:val="00E802CC"/>
    <w:rsid w:val="00E931F0"/>
    <w:rsid w:val="00E9775E"/>
    <w:rsid w:val="00E979E0"/>
    <w:rsid w:val="00EA0EB7"/>
    <w:rsid w:val="00EA24DE"/>
    <w:rsid w:val="00EA7DE6"/>
    <w:rsid w:val="00EB0E1D"/>
    <w:rsid w:val="00EB69C8"/>
    <w:rsid w:val="00EC2A56"/>
    <w:rsid w:val="00ED0690"/>
    <w:rsid w:val="00ED3082"/>
    <w:rsid w:val="00ED5E2E"/>
    <w:rsid w:val="00EE1A98"/>
    <w:rsid w:val="00EE640D"/>
    <w:rsid w:val="00F06911"/>
    <w:rsid w:val="00F37C5E"/>
    <w:rsid w:val="00F44D44"/>
    <w:rsid w:val="00F5032D"/>
    <w:rsid w:val="00F63C9E"/>
    <w:rsid w:val="00F67084"/>
    <w:rsid w:val="00FA6F06"/>
    <w:rsid w:val="00FB3A2B"/>
    <w:rsid w:val="00FB7E67"/>
    <w:rsid w:val="00F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F7"/>
    <w:pPr>
      <w:spacing w:after="0" w:line="240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0C7"/>
  </w:style>
  <w:style w:type="paragraph" w:styleId="Footer">
    <w:name w:val="footer"/>
    <w:basedOn w:val="Normal"/>
    <w:link w:val="FooterChar"/>
    <w:uiPriority w:val="99"/>
    <w:unhideWhenUsed/>
    <w:rsid w:val="009B5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0C7"/>
  </w:style>
  <w:style w:type="character" w:styleId="Hyperlink">
    <w:name w:val="Hyperlink"/>
    <w:basedOn w:val="DefaultParagraphFont"/>
    <w:uiPriority w:val="99"/>
    <w:unhideWhenUsed/>
    <w:rsid w:val="002072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F7"/>
    <w:pPr>
      <w:spacing w:after="0" w:line="240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0C7"/>
  </w:style>
  <w:style w:type="paragraph" w:styleId="Footer">
    <w:name w:val="footer"/>
    <w:basedOn w:val="Normal"/>
    <w:link w:val="FooterChar"/>
    <w:uiPriority w:val="99"/>
    <w:unhideWhenUsed/>
    <w:rsid w:val="009B5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0C7"/>
  </w:style>
  <w:style w:type="character" w:styleId="Hyperlink">
    <w:name w:val="Hyperlink"/>
    <w:basedOn w:val="DefaultParagraphFont"/>
    <w:uiPriority w:val="99"/>
    <w:unhideWhenUsed/>
    <w:rsid w:val="002072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ocuments\Radiation%20Protection%20Services\Calibrations\Work%20Order\Work%20Order%20Agre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B0DD-4F86-46B7-A9B1-99692705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 Order Agreement.dotx</Template>
  <TotalTime>4</TotalTime>
  <Pages>2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Dawson</dc:creator>
  <cp:lastModifiedBy>Carl Dawson</cp:lastModifiedBy>
  <cp:revision>2</cp:revision>
  <cp:lastPrinted>2013-05-27T22:49:00Z</cp:lastPrinted>
  <dcterms:created xsi:type="dcterms:W3CDTF">2014-10-23T22:36:00Z</dcterms:created>
  <dcterms:modified xsi:type="dcterms:W3CDTF">2018-04-25T12:04:00Z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S_DIAuthor">
    <vt:lpwstr>YJC</vt:lpwstr>
  </property>
  <property fmtid="{D5CDD505-2E9C-101B-9397-08002B2CF9AE}" pid="3" name="WWS_DIAuthorName">
    <vt:lpwstr>Yvonne Clarkson</vt:lpwstr>
  </property>
  <property fmtid="{D5CDD505-2E9C-101B-9397-08002B2CF9AE}" pid="4" name="WWS_DIAuthorTitle">
    <vt:lpwstr>Personal Assistant</vt:lpwstr>
  </property>
  <property fmtid="{D5CDD505-2E9C-101B-9397-08002B2CF9AE}" pid="5" name="WWS_DIAuthorEmail">
    <vt:lpwstr>e-mail: yvonne.clarkson@wynnwilliams.co.nz</vt:lpwstr>
  </property>
  <property fmtid="{D5CDD505-2E9C-101B-9397-08002B2CF9AE}" pid="6" name="WWS_DIReference">
    <vt:lpwstr>YJC</vt:lpwstr>
  </property>
</Properties>
</file>